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367" w:rsidRDefault="00836367" w:rsidP="00A310B3">
      <w:pPr>
        <w:jc w:val="right"/>
        <w:rPr>
          <w:b/>
        </w:rPr>
      </w:pPr>
      <w:r w:rsidRPr="00A310B3">
        <w:rPr>
          <w:b/>
        </w:rPr>
        <w:t>Tabella comparazione Regolamenti 2014-2020 / 2007-2013</w:t>
      </w:r>
    </w:p>
    <w:p w:rsidR="00836367" w:rsidRPr="00A310B3" w:rsidRDefault="00836367" w:rsidP="00A310B3">
      <w:pPr>
        <w:jc w:val="right"/>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8"/>
        <w:gridCol w:w="7174"/>
      </w:tblGrid>
      <w:tr w:rsidR="00836367" w:rsidRPr="007B004E" w:rsidTr="007B004E">
        <w:trPr>
          <w:jc w:val="center"/>
        </w:trPr>
        <w:tc>
          <w:tcPr>
            <w:tcW w:w="14312" w:type="dxa"/>
            <w:gridSpan w:val="2"/>
            <w:shd w:val="clear" w:color="auto" w:fill="D9D9D9"/>
          </w:tcPr>
          <w:p w:rsidR="00836367" w:rsidRPr="007B004E" w:rsidRDefault="00836367" w:rsidP="007B004E">
            <w:pPr>
              <w:jc w:val="center"/>
              <w:rPr>
                <w:b/>
                <w:szCs w:val="24"/>
              </w:rPr>
            </w:pPr>
            <w:r w:rsidRPr="007B004E">
              <w:rPr>
                <w:b/>
                <w:sz w:val="22"/>
                <w:szCs w:val="24"/>
              </w:rPr>
              <w:t>FUNZIONI DELLE AUTORITA’</w:t>
            </w:r>
          </w:p>
        </w:tc>
      </w:tr>
      <w:tr w:rsidR="00836367" w:rsidRPr="007B004E" w:rsidTr="007B004E">
        <w:trPr>
          <w:jc w:val="center"/>
        </w:trPr>
        <w:tc>
          <w:tcPr>
            <w:tcW w:w="7138" w:type="dxa"/>
            <w:shd w:val="clear" w:color="auto" w:fill="BDD6EE"/>
            <w:vAlign w:val="center"/>
          </w:tcPr>
          <w:p w:rsidR="00836367" w:rsidRPr="007B004E" w:rsidRDefault="00836367" w:rsidP="007B004E">
            <w:pPr>
              <w:jc w:val="center"/>
              <w:rPr>
                <w:b/>
              </w:rPr>
            </w:pPr>
            <w:r w:rsidRPr="007B004E">
              <w:rPr>
                <w:b/>
                <w:sz w:val="22"/>
              </w:rPr>
              <w:t>Regolamento UE 1303/2013 del Parlamento e del Consiglio recante DISPOSIZIONI COMUNI [2014-2020]</w:t>
            </w:r>
          </w:p>
        </w:tc>
        <w:tc>
          <w:tcPr>
            <w:tcW w:w="7174" w:type="dxa"/>
            <w:shd w:val="clear" w:color="auto" w:fill="BDD6EE"/>
          </w:tcPr>
          <w:p w:rsidR="00836367" w:rsidRPr="007B004E" w:rsidRDefault="00836367" w:rsidP="007B004E">
            <w:pPr>
              <w:jc w:val="center"/>
              <w:rPr>
                <w:b/>
              </w:rPr>
            </w:pPr>
            <w:r w:rsidRPr="007B004E">
              <w:rPr>
                <w:b/>
                <w:sz w:val="22"/>
              </w:rPr>
              <w:t xml:space="preserve">Regolamento CE 1083/2006 del Consiglio recante DISPOSIZIONI GENERALI </w:t>
            </w:r>
          </w:p>
          <w:p w:rsidR="00836367" w:rsidRPr="007B004E" w:rsidRDefault="00836367" w:rsidP="007B004E">
            <w:pPr>
              <w:jc w:val="center"/>
              <w:rPr>
                <w:b/>
              </w:rPr>
            </w:pPr>
            <w:r w:rsidRPr="007B004E">
              <w:rPr>
                <w:b/>
                <w:sz w:val="22"/>
              </w:rPr>
              <w:t>Regolamento attuativo CE 1828/2006 del Consiglio [2007-2013]</w:t>
            </w:r>
          </w:p>
        </w:tc>
      </w:tr>
      <w:tr w:rsidR="00836367" w:rsidRPr="007B004E" w:rsidTr="007B004E">
        <w:trPr>
          <w:jc w:val="center"/>
        </w:trPr>
        <w:tc>
          <w:tcPr>
            <w:tcW w:w="7138" w:type="dxa"/>
          </w:tcPr>
          <w:p w:rsidR="00836367" w:rsidRPr="007B004E" w:rsidRDefault="00836367" w:rsidP="007B004E">
            <w:pPr>
              <w:jc w:val="both"/>
              <w:rPr>
                <w:b/>
                <w:i/>
                <w:sz w:val="20"/>
                <w:szCs w:val="20"/>
              </w:rPr>
            </w:pPr>
            <w:r w:rsidRPr="007B004E">
              <w:rPr>
                <w:b/>
                <w:i/>
                <w:sz w:val="20"/>
                <w:szCs w:val="20"/>
              </w:rPr>
              <w:t>Articolo 125</w:t>
            </w:r>
          </w:p>
          <w:p w:rsidR="00836367" w:rsidRPr="007B004E" w:rsidRDefault="00836367" w:rsidP="007B004E">
            <w:pPr>
              <w:jc w:val="both"/>
              <w:rPr>
                <w:b/>
                <w:i/>
                <w:sz w:val="20"/>
                <w:szCs w:val="20"/>
              </w:rPr>
            </w:pPr>
            <w:r w:rsidRPr="007B004E">
              <w:rPr>
                <w:b/>
                <w:i/>
                <w:sz w:val="20"/>
                <w:szCs w:val="20"/>
              </w:rPr>
              <w:t>Funzioni dell'autorità di gestione</w:t>
            </w:r>
          </w:p>
        </w:tc>
        <w:tc>
          <w:tcPr>
            <w:tcW w:w="7174" w:type="dxa"/>
          </w:tcPr>
          <w:p w:rsidR="00836367" w:rsidRPr="007B004E" w:rsidRDefault="00836367" w:rsidP="007B004E">
            <w:pPr>
              <w:jc w:val="both"/>
              <w:rPr>
                <w:b/>
                <w:i/>
                <w:sz w:val="20"/>
                <w:szCs w:val="20"/>
              </w:rPr>
            </w:pPr>
            <w:r w:rsidRPr="007B004E">
              <w:rPr>
                <w:b/>
                <w:i/>
                <w:sz w:val="20"/>
                <w:szCs w:val="20"/>
              </w:rPr>
              <w:t>Articolo 60</w:t>
            </w:r>
          </w:p>
          <w:p w:rsidR="00836367" w:rsidRPr="007B004E" w:rsidRDefault="00836367" w:rsidP="007B004E">
            <w:pPr>
              <w:jc w:val="both"/>
              <w:rPr>
                <w:b/>
                <w:i/>
                <w:sz w:val="20"/>
                <w:szCs w:val="20"/>
              </w:rPr>
            </w:pPr>
            <w:r w:rsidRPr="007B004E">
              <w:rPr>
                <w:b/>
                <w:i/>
                <w:sz w:val="20"/>
                <w:szCs w:val="20"/>
              </w:rPr>
              <w:t>Funzioni dell'autorità di gestione</w:t>
            </w:r>
          </w:p>
        </w:tc>
      </w:tr>
      <w:tr w:rsidR="00836367" w:rsidRPr="007B004E" w:rsidTr="007B004E">
        <w:trPr>
          <w:jc w:val="center"/>
        </w:trPr>
        <w:tc>
          <w:tcPr>
            <w:tcW w:w="7138" w:type="dxa"/>
          </w:tcPr>
          <w:p w:rsidR="00836367" w:rsidRPr="007B004E" w:rsidRDefault="00836367" w:rsidP="007B004E">
            <w:pPr>
              <w:jc w:val="both"/>
              <w:rPr>
                <w:sz w:val="20"/>
                <w:szCs w:val="20"/>
              </w:rPr>
            </w:pPr>
            <w:smartTag w:uri="urn:schemas-microsoft-com:office:smarttags" w:element="metricconverter">
              <w:smartTagPr>
                <w:attr w:name="ProductID" w:val="1. L"/>
              </w:smartTagPr>
              <w:r w:rsidRPr="007B004E">
                <w:rPr>
                  <w:sz w:val="20"/>
                  <w:szCs w:val="20"/>
                </w:rPr>
                <w:t>1. L</w:t>
              </w:r>
            </w:smartTag>
            <w:r w:rsidRPr="007B004E">
              <w:rPr>
                <w:sz w:val="20"/>
                <w:szCs w:val="20"/>
              </w:rPr>
              <w:t>'autorità di gestione è responsabile della gestione del programma operativo conformemente al principio della sana gestione finanziaria.</w:t>
            </w:r>
          </w:p>
        </w:tc>
        <w:tc>
          <w:tcPr>
            <w:tcW w:w="7174" w:type="dxa"/>
          </w:tcPr>
          <w:p w:rsidR="00836367" w:rsidRPr="007B004E" w:rsidRDefault="00836367" w:rsidP="007B004E">
            <w:pPr>
              <w:jc w:val="both"/>
              <w:rPr>
                <w:sz w:val="20"/>
                <w:szCs w:val="20"/>
              </w:rPr>
            </w:pPr>
            <w:r w:rsidRPr="007B004E">
              <w:rPr>
                <w:sz w:val="20"/>
                <w:szCs w:val="20"/>
              </w:rPr>
              <w:t>L'autorità di gestione è responsabile della gestione e attuazione del programma operativo conformemente al principio della sana gestione finanziaria. In particolare, essa è tenuta a:</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2. Per quanto concerne la gestione del programma operativo, l'autorità di gestione:</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a) assiste il comitato di sorveglianza di cui all'articolo 47 e fornisce a esso le informazioni necessarie allo svolgimento dei suoi compiti, in particolare dati relativi ai progressi del programma operativo nel raggiungimento degli obiettivi, dati finanziari e dati relativi a indicatori e target intermedi;</w:t>
            </w:r>
          </w:p>
        </w:tc>
        <w:tc>
          <w:tcPr>
            <w:tcW w:w="7174" w:type="dxa"/>
          </w:tcPr>
          <w:p w:rsidR="00836367" w:rsidRPr="007B004E" w:rsidRDefault="00836367" w:rsidP="007B004E">
            <w:pPr>
              <w:jc w:val="both"/>
              <w:rPr>
                <w:sz w:val="20"/>
                <w:szCs w:val="20"/>
              </w:rPr>
            </w:pPr>
            <w:r w:rsidRPr="007B004E">
              <w:rPr>
                <w:sz w:val="20"/>
                <w:szCs w:val="20"/>
              </w:rPr>
              <w:t>e) garantire che le valutazioni dei programmi operativi di cui all'articolo 48, paragrafo 3, siano svolte in conformità dell'articolo 47;</w:t>
            </w:r>
          </w:p>
          <w:p w:rsidR="00836367" w:rsidRPr="007B004E" w:rsidRDefault="00836367" w:rsidP="007B004E">
            <w:pPr>
              <w:jc w:val="both"/>
              <w:rPr>
                <w:sz w:val="20"/>
                <w:szCs w:val="20"/>
              </w:rPr>
            </w:pPr>
            <w:r w:rsidRPr="007B004E">
              <w:rPr>
                <w:sz w:val="20"/>
                <w:szCs w:val="20"/>
              </w:rPr>
              <w:t>h) guidare i lavori del comitato di sorveglianza e trasmettergli i documenti per consentire una sorveglianza qualitativa dell'attuazione del programma operativo, tenuto conto dei suoi obiettivi specifici;</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b) elabora e presenta alla Commissione, previa approvazione del comitato di sorveglianza, le relazioni di attuazione annuali e finali di cui all'articolo 50;</w:t>
            </w:r>
          </w:p>
        </w:tc>
        <w:tc>
          <w:tcPr>
            <w:tcW w:w="7174" w:type="dxa"/>
          </w:tcPr>
          <w:p w:rsidR="00836367" w:rsidRPr="007B004E" w:rsidRDefault="00836367" w:rsidP="007B004E">
            <w:pPr>
              <w:jc w:val="both"/>
              <w:rPr>
                <w:sz w:val="20"/>
                <w:szCs w:val="20"/>
              </w:rPr>
            </w:pPr>
            <w:r w:rsidRPr="007B004E">
              <w:rPr>
                <w:sz w:val="20"/>
                <w:szCs w:val="20"/>
              </w:rPr>
              <w:t>i) elaborare e presentare alla Commissione, previa approvazione del comitato di sorveglianza, i rapporti annuali e finali di esecuzione;</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c) rende disponibili agli organismi intermedi e ai beneficiari informazioni pertinenti rispettivamente per l'esecuzione dei loro compiti e l'attuazione delle operazioni;</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d) istituisce un sistema di registrazione e conservazione informatizzata dei dati relativi a ciascuna operazione, necessari per la sorveglianza, la valutazione, la gestione finanziaria, la verifica e l'audit, compresi i dati su singoli partecipanti alle operazioni, se del caso;</w:t>
            </w:r>
          </w:p>
        </w:tc>
        <w:tc>
          <w:tcPr>
            <w:tcW w:w="7174" w:type="dxa"/>
            <w:vMerge w:val="restart"/>
            <w:vAlign w:val="center"/>
          </w:tcPr>
          <w:p w:rsidR="00836367" w:rsidRPr="007B004E" w:rsidRDefault="00836367" w:rsidP="00E91107">
            <w:pPr>
              <w:rPr>
                <w:sz w:val="20"/>
                <w:szCs w:val="20"/>
              </w:rPr>
            </w:pPr>
            <w:r w:rsidRPr="007B004E">
              <w:rPr>
                <w:sz w:val="20"/>
                <w:szCs w:val="20"/>
              </w:rPr>
              <w:t>c) garantire l'esistenza di un sistema informatizzato di registrazione e conservazione dei dati contabili relativi a ciascuna operazione svolta nell'ambito del programma operativo, nonché la raccolta dei dati relativi all'attuazione necessari per la gestione finanziaria, la sorveglianza, le verifiche, gli audit e la valutazione;</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e) garantisce che i dati di cui alla lettera d) siano raccolti, inseriti e memorizzati nel sistema di cui alla lettera d) e che i dati sugli indicatori siano suddivisi per sesso, ove richiesto dagli allegati I e II del regolamento FSE.</w:t>
            </w:r>
          </w:p>
        </w:tc>
        <w:tc>
          <w:tcPr>
            <w:tcW w:w="7174" w:type="dxa"/>
            <w:vMerge/>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lastRenderedPageBreak/>
              <w:t>3. Per quanto concerne la selezione delle operazioni, l'autorità di gestione:</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a) elabora e, previa approvazione, applica procedure e criteri di selezione adeguati che:</w:t>
            </w:r>
          </w:p>
        </w:tc>
        <w:tc>
          <w:tcPr>
            <w:tcW w:w="7174" w:type="dxa"/>
            <w:vMerge w:val="restart"/>
            <w:vAlign w:val="center"/>
          </w:tcPr>
          <w:p w:rsidR="00836367" w:rsidRPr="007B004E" w:rsidRDefault="00836367" w:rsidP="00351B79">
            <w:pPr>
              <w:rPr>
                <w:sz w:val="20"/>
                <w:szCs w:val="20"/>
              </w:rPr>
            </w:pPr>
            <w:r w:rsidRPr="007B004E">
              <w:rPr>
                <w:sz w:val="20"/>
                <w:szCs w:val="20"/>
              </w:rPr>
              <w:t>a) garantire che le operazioni destinate a beneficiare di un finanziamento siano selezionate conformemente ai criteri applicabili al programma operativo e siano conformi alle norme comunitarie e nazionali applicabili per l'intero periodo di attuazione;</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i) garantiscano il contributo delle operazioni al conseguimento degli obiettivi e dei risultati specifici della pertinente priorità;</w:t>
            </w:r>
          </w:p>
        </w:tc>
        <w:tc>
          <w:tcPr>
            <w:tcW w:w="7174" w:type="dxa"/>
            <w:vMerge/>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ii) siano non discriminatori e trasparenti;</w:t>
            </w:r>
          </w:p>
        </w:tc>
        <w:tc>
          <w:tcPr>
            <w:tcW w:w="7174" w:type="dxa"/>
            <w:vMerge/>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iii) tengano conto dei principi generali di cui agli articoli 7 e 8;</w:t>
            </w:r>
          </w:p>
        </w:tc>
        <w:tc>
          <w:tcPr>
            <w:tcW w:w="7174" w:type="dxa"/>
            <w:vMerge/>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b) garantisce che l'operazione selezionata rientri nell'ambito di applicazione del fondo o dei fondi interessati e possa essere attribuita a una categoria di operazione o, nel caso del FEAMP, una misura individuata nella o nelle priorità del programma operativo;</w:t>
            </w:r>
          </w:p>
        </w:tc>
        <w:tc>
          <w:tcPr>
            <w:tcW w:w="7174" w:type="dxa"/>
            <w:vMerge/>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c) provvede affinché sia fornito al beneficiario un documento contenente le condizioni per il sostegno relative a ciascuna operazione, compresi i requisiti specifici concernenti i prodotti o servizi da fornire nell'ambito dell'operazione, il piano finanziario e il termine per l'esecuzione;</w:t>
            </w:r>
          </w:p>
        </w:tc>
        <w:tc>
          <w:tcPr>
            <w:tcW w:w="7174" w:type="dxa"/>
            <w:vMerge w:val="restart"/>
          </w:tcPr>
          <w:p w:rsidR="00836367" w:rsidRPr="007B004E" w:rsidRDefault="00836367" w:rsidP="007B004E">
            <w:pPr>
              <w:jc w:val="both"/>
              <w:rPr>
                <w:b/>
                <w:sz w:val="20"/>
                <w:szCs w:val="20"/>
              </w:rPr>
            </w:pPr>
            <w:r w:rsidRPr="007B004E">
              <w:rPr>
                <w:b/>
                <w:sz w:val="20"/>
                <w:szCs w:val="20"/>
              </w:rPr>
              <w:t>Articolo 13</w:t>
            </w:r>
          </w:p>
          <w:p w:rsidR="00836367" w:rsidRPr="007B004E" w:rsidRDefault="00836367" w:rsidP="007B004E">
            <w:pPr>
              <w:jc w:val="both"/>
              <w:rPr>
                <w:b/>
                <w:sz w:val="20"/>
                <w:szCs w:val="20"/>
              </w:rPr>
            </w:pPr>
            <w:r w:rsidRPr="007B004E">
              <w:rPr>
                <w:b/>
                <w:sz w:val="20"/>
                <w:szCs w:val="20"/>
              </w:rPr>
              <w:t>Autorità di gestione (Reg. 1828/2006)</w:t>
            </w:r>
          </w:p>
          <w:p w:rsidR="00836367" w:rsidRPr="007B004E" w:rsidRDefault="00836367" w:rsidP="007B004E">
            <w:pPr>
              <w:jc w:val="both"/>
              <w:rPr>
                <w:sz w:val="20"/>
                <w:szCs w:val="20"/>
              </w:rPr>
            </w:pPr>
            <w:r w:rsidRPr="007B004E">
              <w:rPr>
                <w:sz w:val="20"/>
                <w:szCs w:val="20"/>
              </w:rPr>
              <w:t>1. Ai fini della selezione e dell’approvazione delle operazioni di cui all’articolo 60, lettera a) del regolamento (CE) n. 1083/2006 l’autorità di gestione garantisce che i beneficiari vengano informati sulle condizioni specifiche relative ai prodotti o ai servizi da fornire nel quadro dell’operazione, sul piano di finanziamento, sul termine per l’esecuzione nonché sui dati finanziari o di altro genere che vanno conservati e comunicati.</w:t>
            </w:r>
          </w:p>
          <w:p w:rsidR="00836367" w:rsidRPr="007B004E" w:rsidRDefault="00836367" w:rsidP="007B004E">
            <w:pPr>
              <w:jc w:val="both"/>
              <w:rPr>
                <w:sz w:val="20"/>
                <w:szCs w:val="20"/>
              </w:rPr>
            </w:pPr>
            <w:r w:rsidRPr="007B004E">
              <w:rPr>
                <w:sz w:val="20"/>
                <w:szCs w:val="20"/>
              </w:rPr>
              <w:t>Prima di prendere la decisione in merito all’approvazione, essa si assicura che il beneficiario sia in grado di rispettare tali condizioni.</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d) si accerta che il beneficiario abbia la capacità amministrativa, finanziaria e operativa per soddisfare le condizioni di cui alla lettera c) prima dell'approvazione dell'operazione;</w:t>
            </w:r>
          </w:p>
        </w:tc>
        <w:tc>
          <w:tcPr>
            <w:tcW w:w="7174" w:type="dxa"/>
            <w:vMerge/>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e) si accerta che, ove l'operazione sia cominciata prima della presentazione di una domanda di finanziamento all'autorità di gestione, sia stato osservato il diritto applicabile pertinente per l'operazione;</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 xml:space="preserve">f) garantisce che le operazioni selezionate per il sostegno dei fondi non includano attività che facevano parte di un'operazione che è stata o dovrebbe essere stata oggetto di una procedura di recupero a norma dell'articolo </w:t>
            </w:r>
            <w:smartTag w:uri="urn:schemas-microsoft-com:office:smarttags" w:element="metricconverter">
              <w:smartTagPr>
                <w:attr w:name="ProductID" w:val="71, a"/>
              </w:smartTagPr>
              <w:r w:rsidRPr="007B004E">
                <w:rPr>
                  <w:sz w:val="20"/>
                  <w:szCs w:val="20"/>
                </w:rPr>
                <w:t>71, a</w:t>
              </w:r>
            </w:smartTag>
            <w:r w:rsidRPr="007B004E">
              <w:rPr>
                <w:sz w:val="20"/>
                <w:szCs w:val="20"/>
              </w:rPr>
              <w:t xml:space="preserve"> seguito della </w:t>
            </w:r>
            <w:proofErr w:type="spellStart"/>
            <w:r w:rsidRPr="007B004E">
              <w:rPr>
                <w:sz w:val="20"/>
                <w:szCs w:val="20"/>
              </w:rPr>
              <w:t>rilocalizzazione</w:t>
            </w:r>
            <w:proofErr w:type="spellEnd"/>
            <w:r w:rsidRPr="007B004E">
              <w:rPr>
                <w:sz w:val="20"/>
                <w:szCs w:val="20"/>
              </w:rPr>
              <w:t xml:space="preserve"> di un'attività produttiva al di fuori dell'area interessata dal programma;</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g) stabilisce le categorie di operazione o, nel caso del FEAMP, le misure cui è attribuita la spesa relativa a una specifica operazione.</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lastRenderedPageBreak/>
              <w:t>4. Per quanto concerne la gestione finanziaria e il controllo del programma operativo, l'autorità di gestione:</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a) verifica che i prodotti e servizi cofinanziati siano stati forniti, che i beneficiari abbiano pagato le spese dichiarate e che queste ultime siano conformi al diritto applicabile, al programma operativo e alle condizioni per il sostegno dell'operazione;</w:t>
            </w:r>
          </w:p>
        </w:tc>
        <w:tc>
          <w:tcPr>
            <w:tcW w:w="7174" w:type="dxa"/>
          </w:tcPr>
          <w:p w:rsidR="00836367" w:rsidRPr="007B004E" w:rsidRDefault="00836367" w:rsidP="007B004E">
            <w:pPr>
              <w:jc w:val="both"/>
              <w:rPr>
                <w:sz w:val="20"/>
                <w:szCs w:val="20"/>
              </w:rPr>
            </w:pPr>
            <w:r w:rsidRPr="007B004E">
              <w:rPr>
                <w:sz w:val="20"/>
                <w:szCs w:val="20"/>
              </w:rPr>
              <w:t>b) verificare che i prodotti e i servizi cofinanziati siano forniti e l'effettiva esecuzione delle spese dichiarate dai beneficiari in relazione alle operazioni, nonché la conformità di tali spese alle norme comunitarie e nazionali; possono essere effettuate verifiche in loco di singole operazioni su base campionaria conformemente alle modalità di applicazione che devono essere adottate dalla Commissione secondo la procedura di cui all'articolo 103, paragrafo 3;</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b) garantisce che i beneficiari coinvolti nell'attuazione di operazioni rimborsate sulla base dei costi ammissibili effettivamente sostenuti mantengano un sistema di contabilità separata o una codificazione contabile adeguata per tutte le transazioni relative a un'operazione;</w:t>
            </w:r>
          </w:p>
        </w:tc>
        <w:tc>
          <w:tcPr>
            <w:tcW w:w="7174" w:type="dxa"/>
          </w:tcPr>
          <w:p w:rsidR="00836367" w:rsidRPr="007B004E" w:rsidRDefault="00836367" w:rsidP="007B004E">
            <w:pPr>
              <w:jc w:val="both"/>
              <w:rPr>
                <w:sz w:val="20"/>
                <w:szCs w:val="20"/>
              </w:rPr>
            </w:pPr>
            <w:r w:rsidRPr="007B004E">
              <w:rPr>
                <w:sz w:val="20"/>
                <w:szCs w:val="20"/>
              </w:rPr>
              <w:t>d) garantire che i beneficiari e gli altri organismi coinvolti nell'attuazione delle operazioni mantengano un sistema di contabilità separata o una codificazione contabile adeguata per tutte le transazioni relative all'operazione, ferme restando le norme contabili nazionali;</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c) istituisce misure antifrode efficaci e proporzionate, tenendo conto dei rischi individuati;</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d) stabilisce procedure per far sì che tutti i documenti relativi alle spese e agli audit necessari per garantire una pista di controllo adeguata siano conservati secondo quanto disposto all'articolo 72, lettera g);</w:t>
            </w:r>
          </w:p>
        </w:tc>
        <w:tc>
          <w:tcPr>
            <w:tcW w:w="7174" w:type="dxa"/>
          </w:tcPr>
          <w:p w:rsidR="00836367" w:rsidRPr="007B004E" w:rsidRDefault="00836367" w:rsidP="007B004E">
            <w:pPr>
              <w:jc w:val="both"/>
              <w:rPr>
                <w:sz w:val="20"/>
                <w:szCs w:val="20"/>
              </w:rPr>
            </w:pPr>
            <w:r w:rsidRPr="007B004E">
              <w:rPr>
                <w:sz w:val="20"/>
                <w:szCs w:val="20"/>
              </w:rPr>
              <w:t>f) stabilire procedure per far sì che tutti i documenti relativi alle spese e agli audit necessari per garantire una pista di controllo adeguata siano conservati secondo quanto disposto dall'articolo 90;</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e) prepara la dichiarazione di affidabilità di gestione e la sintesi annuale di cui all'articolo 59, paragrafo 5, lettere a) e b), del regolamento finanziario.</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In deroga al primo comma, lettera a), il regolamento CTE può stabilire norme specifiche di verifica applicabili ai programmi di cooperazione.</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p>
        </w:tc>
        <w:tc>
          <w:tcPr>
            <w:tcW w:w="7174" w:type="dxa"/>
          </w:tcPr>
          <w:p w:rsidR="00836367" w:rsidRPr="007B004E" w:rsidRDefault="00836367" w:rsidP="007B004E">
            <w:pPr>
              <w:jc w:val="both"/>
              <w:rPr>
                <w:sz w:val="20"/>
                <w:szCs w:val="20"/>
              </w:rPr>
            </w:pPr>
            <w:r w:rsidRPr="007B004E">
              <w:rPr>
                <w:sz w:val="20"/>
                <w:szCs w:val="20"/>
              </w:rPr>
              <w:t>g) garantire che l'autorità di certificazione riceva tutte le informazioni necessarie in merito alle procedure e verifiche eseguite in relazione alle spese ai fini della certificazione;</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5. Le verifiche ai sensi del paragrafo 4, primo comma, lettera a), comprendono le seguenti procedure:</w:t>
            </w:r>
          </w:p>
        </w:tc>
        <w:tc>
          <w:tcPr>
            <w:tcW w:w="7174" w:type="dxa"/>
            <w:vMerge w:val="restart"/>
          </w:tcPr>
          <w:p w:rsidR="00836367" w:rsidRPr="007B004E" w:rsidRDefault="00836367" w:rsidP="007B004E">
            <w:pPr>
              <w:jc w:val="both"/>
              <w:rPr>
                <w:b/>
                <w:sz w:val="20"/>
                <w:szCs w:val="20"/>
              </w:rPr>
            </w:pPr>
            <w:r w:rsidRPr="007B004E">
              <w:rPr>
                <w:b/>
                <w:sz w:val="20"/>
                <w:szCs w:val="20"/>
              </w:rPr>
              <w:t>Articolo 13</w:t>
            </w:r>
          </w:p>
          <w:p w:rsidR="00836367" w:rsidRPr="007B004E" w:rsidRDefault="00836367" w:rsidP="007B004E">
            <w:pPr>
              <w:jc w:val="both"/>
              <w:rPr>
                <w:b/>
                <w:sz w:val="20"/>
                <w:szCs w:val="20"/>
              </w:rPr>
            </w:pPr>
            <w:r w:rsidRPr="007B004E">
              <w:rPr>
                <w:b/>
                <w:sz w:val="20"/>
                <w:szCs w:val="20"/>
              </w:rPr>
              <w:t>Autorità di gestione (Reg. 1828/2006)</w:t>
            </w:r>
          </w:p>
          <w:p w:rsidR="00836367" w:rsidRPr="007B004E" w:rsidRDefault="00836367" w:rsidP="007B004E">
            <w:pPr>
              <w:jc w:val="both"/>
              <w:rPr>
                <w:sz w:val="20"/>
                <w:szCs w:val="20"/>
              </w:rPr>
            </w:pPr>
            <w:r w:rsidRPr="007B004E">
              <w:rPr>
                <w:sz w:val="20"/>
                <w:szCs w:val="20"/>
              </w:rPr>
              <w:t>Le verifiche comprendono le seguenti procedure:</w:t>
            </w:r>
          </w:p>
          <w:p w:rsidR="00836367" w:rsidRPr="007B004E" w:rsidRDefault="00836367" w:rsidP="007B004E">
            <w:pPr>
              <w:jc w:val="both"/>
              <w:rPr>
                <w:sz w:val="20"/>
                <w:szCs w:val="20"/>
              </w:rPr>
            </w:pPr>
            <w:r w:rsidRPr="007B004E">
              <w:rPr>
                <w:sz w:val="20"/>
                <w:szCs w:val="20"/>
              </w:rPr>
              <w:t>a) verifiche amministrative di tutte le domande di rimborso presentate dai beneficiari;</w:t>
            </w:r>
          </w:p>
          <w:p w:rsidR="00836367" w:rsidRPr="007B004E" w:rsidRDefault="00836367" w:rsidP="007B004E">
            <w:pPr>
              <w:jc w:val="both"/>
              <w:rPr>
                <w:sz w:val="20"/>
                <w:szCs w:val="20"/>
              </w:rPr>
            </w:pPr>
            <w:r w:rsidRPr="007B004E">
              <w:rPr>
                <w:sz w:val="20"/>
                <w:szCs w:val="20"/>
              </w:rPr>
              <w:t>b) verifiche in loco di singole operazioni.</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a) verifiche amministrative rispetto a ciascuna domanda di rimborso presentata dai beneficiari;</w:t>
            </w:r>
          </w:p>
        </w:tc>
        <w:tc>
          <w:tcPr>
            <w:tcW w:w="7174" w:type="dxa"/>
            <w:vMerge/>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b) verifiche sul posto delle operazioni.</w:t>
            </w:r>
          </w:p>
        </w:tc>
        <w:tc>
          <w:tcPr>
            <w:tcW w:w="7174" w:type="dxa"/>
            <w:vMerge/>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lastRenderedPageBreak/>
              <w:t>La frequenza e la portata delle verifiche sul posto sono proporzionali all'ammontare del sostegno pubblico a un'operazione e al livello di rischio individuato da tali verifiche e dagli audit effettuati dall'autorità di audit per il sistema di gestione e controllo nel suo complesso.</w:t>
            </w:r>
          </w:p>
        </w:tc>
        <w:tc>
          <w:tcPr>
            <w:tcW w:w="7174" w:type="dxa"/>
            <w:vMerge w:val="restart"/>
          </w:tcPr>
          <w:p w:rsidR="00836367" w:rsidRPr="007B004E" w:rsidRDefault="00836367" w:rsidP="007B004E">
            <w:pPr>
              <w:jc w:val="both"/>
              <w:rPr>
                <w:sz w:val="20"/>
                <w:szCs w:val="20"/>
              </w:rPr>
            </w:pPr>
            <w:r w:rsidRPr="007B004E">
              <w:rPr>
                <w:sz w:val="20"/>
                <w:szCs w:val="20"/>
              </w:rPr>
              <w:t>3. Qualora le verifiche in loco di cui al paragrafo 2, lettera b), relative a un programma operativo, siano effettuate su base campionaria, l’autorità di gestione conserva una documentazione che descriva e giustifichi il metodo di campionamento e indichi le operazioni o le transazioni selezionate per la verifica. L’autorità di gestione definisce le dimensioni del campione in modo da ottenere ragionevoli garanzie circa la legittimità e la regolarità delle pertinenti transazioni, tenendo conto del grado di rischio da essa identificato in rapporto al tipo di beneficiari e di operazioni interessati. Il metodo di campionamento viene riesaminato ogni anno.</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6. Le verifiche sul posto di singole operazioni ai sensi del paragrafo 5, primo comma, lettera b), possono essere svolte a campione.</w:t>
            </w:r>
          </w:p>
        </w:tc>
        <w:tc>
          <w:tcPr>
            <w:tcW w:w="7174" w:type="dxa"/>
            <w:vMerge/>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7. Qualora l'autorità di gestione sia anche un beneficiario nell'ambito del programma operativo, le disposizioni relative alle verifiche di cui al paragrafo 4, primo comma, lettera a), garantiscono un'adeguata separazione delle funzioni.</w:t>
            </w:r>
          </w:p>
        </w:tc>
        <w:tc>
          <w:tcPr>
            <w:tcW w:w="7174" w:type="dxa"/>
          </w:tcPr>
          <w:p w:rsidR="00836367" w:rsidRPr="007B004E" w:rsidRDefault="00836367" w:rsidP="007B004E">
            <w:pPr>
              <w:jc w:val="both"/>
              <w:rPr>
                <w:sz w:val="20"/>
                <w:szCs w:val="20"/>
              </w:rPr>
            </w:pPr>
            <w:r w:rsidRPr="007B004E">
              <w:rPr>
                <w:sz w:val="20"/>
                <w:szCs w:val="20"/>
              </w:rPr>
              <w:t>5. Qualora l’organismo designato come autorità di gestione sia anche beneficiario nel quadro di un programma operativo, le disposizioni riguardanti le verifiche di cui ai paragrafi 2, 3 e 4 garantiscono un’adeguata separazione delle funzioni in conformità dell’articolo 58, lettera b) del regolamento (CE) n. 1083/2006.</w:t>
            </w:r>
          </w:p>
        </w:tc>
      </w:tr>
      <w:tr w:rsidR="00836367" w:rsidRPr="007B004E" w:rsidTr="007B004E">
        <w:trPr>
          <w:jc w:val="center"/>
        </w:trPr>
        <w:tc>
          <w:tcPr>
            <w:tcW w:w="7138" w:type="dxa"/>
          </w:tcPr>
          <w:p w:rsidR="00836367" w:rsidRPr="007B004E" w:rsidRDefault="00836367" w:rsidP="007B004E">
            <w:pPr>
              <w:jc w:val="both"/>
              <w:rPr>
                <w:sz w:val="20"/>
                <w:szCs w:val="20"/>
              </w:rPr>
            </w:pPr>
          </w:p>
        </w:tc>
        <w:tc>
          <w:tcPr>
            <w:tcW w:w="7174" w:type="dxa"/>
          </w:tcPr>
          <w:p w:rsidR="00836367" w:rsidRPr="007B004E" w:rsidRDefault="00836367" w:rsidP="007B004E">
            <w:pPr>
              <w:jc w:val="both"/>
              <w:rPr>
                <w:sz w:val="20"/>
                <w:szCs w:val="20"/>
              </w:rPr>
            </w:pPr>
            <w:r w:rsidRPr="007B004E">
              <w:rPr>
                <w:sz w:val="20"/>
                <w:szCs w:val="20"/>
              </w:rPr>
              <w:t>j) garantire il rispetto degli obblighi in materia di informazione e pubblicità previsti all'articolo 69;</w:t>
            </w:r>
          </w:p>
        </w:tc>
      </w:tr>
      <w:tr w:rsidR="00836367" w:rsidRPr="007B004E" w:rsidTr="007B004E">
        <w:trPr>
          <w:jc w:val="center"/>
        </w:trPr>
        <w:tc>
          <w:tcPr>
            <w:tcW w:w="7138" w:type="dxa"/>
          </w:tcPr>
          <w:p w:rsidR="00836367" w:rsidRPr="007B004E" w:rsidRDefault="00836367" w:rsidP="007B004E">
            <w:pPr>
              <w:jc w:val="both"/>
              <w:rPr>
                <w:sz w:val="20"/>
                <w:szCs w:val="20"/>
              </w:rPr>
            </w:pPr>
          </w:p>
        </w:tc>
        <w:tc>
          <w:tcPr>
            <w:tcW w:w="7174" w:type="dxa"/>
          </w:tcPr>
          <w:p w:rsidR="00836367" w:rsidRPr="007B004E" w:rsidRDefault="00836367" w:rsidP="007B004E">
            <w:pPr>
              <w:jc w:val="both"/>
              <w:rPr>
                <w:sz w:val="20"/>
                <w:szCs w:val="20"/>
              </w:rPr>
            </w:pPr>
            <w:r w:rsidRPr="007B004E">
              <w:rPr>
                <w:sz w:val="20"/>
                <w:szCs w:val="20"/>
              </w:rPr>
              <w:t>k) trasmettere alla Commissione le informazioni che le consentano di valutare i grandi progetti.</w:t>
            </w:r>
          </w:p>
        </w:tc>
      </w:tr>
      <w:tr w:rsidR="00836367" w:rsidRPr="007B004E" w:rsidTr="007B004E">
        <w:trPr>
          <w:jc w:val="center"/>
        </w:trPr>
        <w:tc>
          <w:tcPr>
            <w:tcW w:w="7138" w:type="dxa"/>
          </w:tcPr>
          <w:p w:rsidR="00836367" w:rsidRPr="007B004E" w:rsidRDefault="00836367" w:rsidP="007B004E">
            <w:pPr>
              <w:keepNext/>
              <w:jc w:val="both"/>
              <w:rPr>
                <w:sz w:val="20"/>
                <w:szCs w:val="20"/>
              </w:rPr>
            </w:pPr>
            <w:r w:rsidRPr="007B004E">
              <w:rPr>
                <w:sz w:val="20"/>
                <w:szCs w:val="20"/>
              </w:rPr>
              <w:t>8. Alla Commissione è conferito il potere di adottare atti delegati conformemente all'articolo 149 riguardo alle norme indicanti le informazioni relative ai dati da registrare e conservare in formato elettronico nell'ambito di un sistema di sorveglianza istituito a norma del paragrafo 2, lettera d), del presente articolo.</w:t>
            </w:r>
          </w:p>
        </w:tc>
        <w:tc>
          <w:tcPr>
            <w:tcW w:w="7174" w:type="dxa"/>
          </w:tcPr>
          <w:p w:rsidR="00836367" w:rsidRPr="007B004E" w:rsidRDefault="00836367" w:rsidP="007B004E">
            <w:pPr>
              <w:keepNext/>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La Commissione adotta atti delegati che definiscono le specifiche tecniche del sistema istituito a norma del paragrafo 2, lettera d), del presente articolo. Tali atti delegati sono adottati secondo la procedura d'esame di cui all'articolo 150, paragrafo 3.</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9. Alla Commissione è conferito il potere di adottare atti delegati conformemente all'articolo 149, che stabiliscono in dettaglio i requisiti minimi per la pista di controllo di cui al paragrafo 4, primo comma, lettera d), del presente articolo, con riguardo ai documenti contabili da mantenere e alla documentazione di supporto da conservare al livello dell'autorità di certificazione, dell'autorità di gestione, degli organismi intermedi e dei beneficiari.</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10. Al fine di garantire condizioni uniformi di esecuzione del presente articolo, la Commissione adotta atti di esecuzione riguardo al modello per la dichiarazione di gestione di cui al paragrafo 4, primo comma, lettera e), del presente articolo. Tali atti di esecuzione sono adottati secondo la procedura d'esame di cui all'articolo 150, paragrafo 2.</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b/>
                <w:i/>
                <w:sz w:val="20"/>
                <w:szCs w:val="20"/>
              </w:rPr>
            </w:pPr>
            <w:r w:rsidRPr="007B004E">
              <w:rPr>
                <w:b/>
                <w:i/>
                <w:sz w:val="20"/>
                <w:szCs w:val="20"/>
              </w:rPr>
              <w:lastRenderedPageBreak/>
              <w:t>Articolo 126</w:t>
            </w:r>
          </w:p>
          <w:p w:rsidR="00836367" w:rsidRPr="007B004E" w:rsidRDefault="00836367" w:rsidP="007B004E">
            <w:pPr>
              <w:jc w:val="both"/>
              <w:rPr>
                <w:b/>
                <w:i/>
                <w:sz w:val="20"/>
                <w:szCs w:val="20"/>
              </w:rPr>
            </w:pPr>
            <w:r w:rsidRPr="007B004E">
              <w:rPr>
                <w:b/>
                <w:i/>
                <w:sz w:val="20"/>
                <w:szCs w:val="20"/>
              </w:rPr>
              <w:t>Funzioni dell'autorità di certificazione</w:t>
            </w:r>
          </w:p>
        </w:tc>
        <w:tc>
          <w:tcPr>
            <w:tcW w:w="7174" w:type="dxa"/>
          </w:tcPr>
          <w:p w:rsidR="00836367" w:rsidRPr="007B004E" w:rsidRDefault="00836367" w:rsidP="007B004E">
            <w:pPr>
              <w:jc w:val="both"/>
              <w:rPr>
                <w:b/>
                <w:i/>
                <w:sz w:val="20"/>
                <w:szCs w:val="20"/>
              </w:rPr>
            </w:pPr>
            <w:r w:rsidRPr="007B004E">
              <w:rPr>
                <w:b/>
                <w:i/>
                <w:sz w:val="20"/>
                <w:szCs w:val="20"/>
              </w:rPr>
              <w:t>Articolo 61</w:t>
            </w:r>
          </w:p>
          <w:p w:rsidR="00836367" w:rsidRPr="007B004E" w:rsidRDefault="00836367" w:rsidP="007B004E">
            <w:pPr>
              <w:jc w:val="both"/>
              <w:rPr>
                <w:b/>
                <w:i/>
                <w:sz w:val="20"/>
                <w:szCs w:val="20"/>
              </w:rPr>
            </w:pPr>
            <w:r w:rsidRPr="007B004E">
              <w:rPr>
                <w:b/>
                <w:i/>
                <w:sz w:val="20"/>
                <w:szCs w:val="20"/>
              </w:rPr>
              <w:t>Funzioni dell'autorità di certificazione</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L'autorità di certificazione di un programma operativo è incaricata in particolare dei compiti seguenti:</w:t>
            </w:r>
          </w:p>
        </w:tc>
        <w:tc>
          <w:tcPr>
            <w:tcW w:w="7174" w:type="dxa"/>
          </w:tcPr>
          <w:p w:rsidR="00836367" w:rsidRPr="007B004E" w:rsidRDefault="00836367" w:rsidP="007B004E">
            <w:pPr>
              <w:jc w:val="both"/>
              <w:rPr>
                <w:sz w:val="20"/>
                <w:szCs w:val="20"/>
              </w:rPr>
            </w:pPr>
            <w:r w:rsidRPr="007B004E">
              <w:rPr>
                <w:sz w:val="20"/>
                <w:szCs w:val="20"/>
              </w:rPr>
              <w:t>L'autorità di certificazione di un programma operativo è incaricata in particolare dei compiti seguenti:</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a) elaborare e trasmettere alla Commissione le domande di pagamento e certificare che provengono da sistemi di contabilità affidabili, sono basate su documenti giustificativi verificabili e sono state oggetto di verifiche da parte dell'autorità di gestione;</w:t>
            </w:r>
          </w:p>
        </w:tc>
        <w:tc>
          <w:tcPr>
            <w:tcW w:w="7174" w:type="dxa"/>
          </w:tcPr>
          <w:p w:rsidR="00836367" w:rsidRPr="007B004E" w:rsidRDefault="00836367" w:rsidP="007B004E">
            <w:pPr>
              <w:jc w:val="both"/>
              <w:rPr>
                <w:sz w:val="20"/>
                <w:szCs w:val="20"/>
              </w:rPr>
            </w:pPr>
            <w:r w:rsidRPr="007B004E">
              <w:rPr>
                <w:sz w:val="20"/>
                <w:szCs w:val="20"/>
              </w:rPr>
              <w:t xml:space="preserve">a) elaborare e trasmettere alla Commissione le dichiarazioni certificate delle spese e le domande di pagamento; </w:t>
            </w:r>
          </w:p>
          <w:p w:rsidR="00836367" w:rsidRPr="007B004E" w:rsidRDefault="00836367" w:rsidP="007B004E">
            <w:pPr>
              <w:jc w:val="both"/>
              <w:rPr>
                <w:sz w:val="20"/>
                <w:szCs w:val="20"/>
              </w:rPr>
            </w:pPr>
            <w:r w:rsidRPr="007B004E">
              <w:rPr>
                <w:sz w:val="20"/>
                <w:szCs w:val="20"/>
              </w:rPr>
              <w:t>b) certificare che:</w:t>
            </w:r>
          </w:p>
          <w:p w:rsidR="00836367" w:rsidRPr="007B004E" w:rsidRDefault="00836367" w:rsidP="007B004E">
            <w:pPr>
              <w:jc w:val="both"/>
              <w:rPr>
                <w:sz w:val="20"/>
                <w:szCs w:val="20"/>
              </w:rPr>
            </w:pPr>
            <w:r w:rsidRPr="007B004E">
              <w:rPr>
                <w:sz w:val="20"/>
                <w:szCs w:val="20"/>
              </w:rPr>
              <w:t>i) la dichiarazione delle spese è corretta, proviene da sistemi di contabilità affidabili ed è basata su documenti giustificativi verificabili;</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b) preparare i bilanci di cui all'articolo 59, paragrafo 5, lettera a), del regolamento finanziario;</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c) certificare la completezza, esattezza e veridicità dei bilanci e che le spese in esse iscritte sono conformi al diritto applicabile e sono state sostenute in rapporto ad operazioni selezionate per il finanziamento conformemente ai criteri applicabili al programma operativo e nel rispetto del diritto applicabile;</w:t>
            </w:r>
          </w:p>
        </w:tc>
        <w:tc>
          <w:tcPr>
            <w:tcW w:w="7174" w:type="dxa"/>
          </w:tcPr>
          <w:p w:rsidR="00836367" w:rsidRPr="007B004E" w:rsidRDefault="00836367" w:rsidP="007B004E">
            <w:pPr>
              <w:jc w:val="both"/>
              <w:rPr>
                <w:sz w:val="20"/>
                <w:szCs w:val="20"/>
              </w:rPr>
            </w:pPr>
            <w:r w:rsidRPr="007B004E">
              <w:rPr>
                <w:sz w:val="20"/>
                <w:szCs w:val="20"/>
              </w:rPr>
              <w:t>ii) le spese dichiarate sono conformi alle norme comunitarie e nazionali applicabili e sono state sostenute in rapporto alle operazioni selezionate per il finanziamento conformemente ai criteri applicabili al programma e alle norme comunitarie e nazionali;</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d) garantire l'esistenza di un sistema di registrazione e conservazione informatizzata dei dati contabili per ciascuna operazione, che gestisce tutti i dati necessari per la preparazione delle domande di pagamento e dei bilanci, compresi i dati degli importi recuperabili, recuperati e ritirati a seguito della soppressione totale o parziale del contributo a favore di un'operazione o di un programma operativo;</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e) garantire, ai fini della preparazione e della presentazione delle domande di pagamento, di aver ricevuto informazioni adeguate dall'autorità di gestione in merito alle procedure seguite e alle verifiche effettuate in relazione alle spese;</w:t>
            </w:r>
          </w:p>
        </w:tc>
        <w:tc>
          <w:tcPr>
            <w:tcW w:w="7174" w:type="dxa"/>
          </w:tcPr>
          <w:p w:rsidR="00836367" w:rsidRPr="007B004E" w:rsidRDefault="00836367" w:rsidP="007B004E">
            <w:pPr>
              <w:jc w:val="both"/>
              <w:rPr>
                <w:sz w:val="20"/>
                <w:szCs w:val="20"/>
              </w:rPr>
            </w:pPr>
            <w:r w:rsidRPr="007B004E">
              <w:rPr>
                <w:sz w:val="20"/>
                <w:szCs w:val="20"/>
              </w:rPr>
              <w:t>c) garantire ai fini della certificazione di aver ricevuto dall'autorità di gestione informazioni adeguate in merito alle procedure seguite e alle verifiche effettuate in relazione alle spese figuranti nelle dichiarazioni di spesa;</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f) tenere conto, nel preparare e presentare le domande di pagamento, dei risultati di tutte le attività di audit svolte dall'autorità di audit o sotto la sua responsabilità;</w:t>
            </w:r>
          </w:p>
        </w:tc>
        <w:tc>
          <w:tcPr>
            <w:tcW w:w="7174" w:type="dxa"/>
          </w:tcPr>
          <w:p w:rsidR="00836367" w:rsidRPr="007B004E" w:rsidRDefault="00836367" w:rsidP="007B004E">
            <w:pPr>
              <w:jc w:val="both"/>
              <w:rPr>
                <w:sz w:val="20"/>
                <w:szCs w:val="20"/>
              </w:rPr>
            </w:pPr>
            <w:r w:rsidRPr="007B004E">
              <w:rPr>
                <w:sz w:val="20"/>
                <w:szCs w:val="20"/>
              </w:rPr>
              <w:t>d) tener conto, ai fini della certificazione, dei risultati di tutte le attività di audit svolte dall'autorità di audit o sotto la sua responsabilità;</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g) mantenere una contabilità informatizzata delle spese dichiarate alla Commissione e del corrispondente contributo pubblico versato ai beneficiari;</w:t>
            </w:r>
          </w:p>
        </w:tc>
        <w:tc>
          <w:tcPr>
            <w:tcW w:w="7174" w:type="dxa"/>
          </w:tcPr>
          <w:p w:rsidR="00836367" w:rsidRPr="007B004E" w:rsidRDefault="00836367" w:rsidP="007B004E">
            <w:pPr>
              <w:jc w:val="both"/>
              <w:rPr>
                <w:sz w:val="20"/>
                <w:szCs w:val="20"/>
              </w:rPr>
            </w:pPr>
            <w:r w:rsidRPr="007B004E">
              <w:rPr>
                <w:sz w:val="20"/>
                <w:szCs w:val="20"/>
              </w:rPr>
              <w:t>e) mantenere una contabilità informatizzata delle spese dichiarate alla Commissione;</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 xml:space="preserve">h) tenere una contabilità degli importi recuperabili e degli importi ritirati a seguito della soppressione totale o parziale del contributo a un'operazione. Gli importi recuperati </w:t>
            </w:r>
            <w:r w:rsidRPr="007B004E">
              <w:rPr>
                <w:sz w:val="20"/>
                <w:szCs w:val="20"/>
              </w:rPr>
              <w:lastRenderedPageBreak/>
              <w:t>sono restituiti al bilancio dell'Unione prima della chiusura del programma operativo detraendoli dalla dichiarazione di spesa successiva.</w:t>
            </w:r>
          </w:p>
        </w:tc>
        <w:tc>
          <w:tcPr>
            <w:tcW w:w="7174" w:type="dxa"/>
          </w:tcPr>
          <w:p w:rsidR="00836367" w:rsidRPr="007B004E" w:rsidRDefault="00836367" w:rsidP="007B004E">
            <w:pPr>
              <w:jc w:val="both"/>
              <w:rPr>
                <w:sz w:val="20"/>
                <w:szCs w:val="20"/>
              </w:rPr>
            </w:pPr>
            <w:r w:rsidRPr="007B004E">
              <w:rPr>
                <w:sz w:val="20"/>
                <w:szCs w:val="20"/>
              </w:rPr>
              <w:lastRenderedPageBreak/>
              <w:t xml:space="preserve">f) tenere una contabilità degli importi recuperabili e degli importi ritirati a seguito della soppressione totale o parziale della partecipazione a un'operazione. Gli importi </w:t>
            </w:r>
            <w:r w:rsidRPr="007B004E">
              <w:rPr>
                <w:sz w:val="20"/>
                <w:szCs w:val="20"/>
              </w:rPr>
              <w:lastRenderedPageBreak/>
              <w:t>recuperati sono restituiti al bilancio generale dell'Unione europea prima della chiusura del programma operativo detraendoli dalla dichiarazione di spesa successiva.</w:t>
            </w:r>
          </w:p>
        </w:tc>
      </w:tr>
      <w:tr w:rsidR="00836367" w:rsidRPr="007B004E" w:rsidTr="007B004E">
        <w:trPr>
          <w:jc w:val="center"/>
        </w:trPr>
        <w:tc>
          <w:tcPr>
            <w:tcW w:w="7138" w:type="dxa"/>
          </w:tcPr>
          <w:p w:rsidR="00836367" w:rsidRPr="007B004E" w:rsidRDefault="00836367" w:rsidP="007B004E">
            <w:pPr>
              <w:jc w:val="both"/>
              <w:rPr>
                <w:b/>
                <w:i/>
                <w:sz w:val="20"/>
                <w:szCs w:val="20"/>
              </w:rPr>
            </w:pPr>
            <w:r w:rsidRPr="007B004E">
              <w:rPr>
                <w:b/>
                <w:i/>
                <w:sz w:val="20"/>
                <w:szCs w:val="20"/>
              </w:rPr>
              <w:lastRenderedPageBreak/>
              <w:t>Articolo 127</w:t>
            </w:r>
          </w:p>
          <w:p w:rsidR="00836367" w:rsidRPr="007B004E" w:rsidRDefault="00836367" w:rsidP="007B004E">
            <w:pPr>
              <w:jc w:val="both"/>
              <w:rPr>
                <w:b/>
                <w:i/>
                <w:sz w:val="20"/>
                <w:szCs w:val="20"/>
              </w:rPr>
            </w:pPr>
            <w:r w:rsidRPr="007B004E">
              <w:rPr>
                <w:b/>
                <w:i/>
                <w:sz w:val="20"/>
                <w:szCs w:val="20"/>
              </w:rPr>
              <w:t>Funzioni dell'autorità di audit</w:t>
            </w:r>
          </w:p>
        </w:tc>
        <w:tc>
          <w:tcPr>
            <w:tcW w:w="7174" w:type="dxa"/>
          </w:tcPr>
          <w:p w:rsidR="00836367" w:rsidRPr="007B004E" w:rsidRDefault="00836367" w:rsidP="007B004E">
            <w:pPr>
              <w:jc w:val="both"/>
              <w:rPr>
                <w:b/>
                <w:i/>
                <w:sz w:val="20"/>
                <w:szCs w:val="20"/>
              </w:rPr>
            </w:pPr>
            <w:r w:rsidRPr="007B004E">
              <w:rPr>
                <w:b/>
                <w:i/>
                <w:sz w:val="20"/>
                <w:szCs w:val="20"/>
              </w:rPr>
              <w:t>Articolo 62</w:t>
            </w:r>
          </w:p>
          <w:p w:rsidR="00836367" w:rsidRPr="007B004E" w:rsidRDefault="00836367" w:rsidP="007B004E">
            <w:pPr>
              <w:jc w:val="both"/>
              <w:rPr>
                <w:b/>
                <w:i/>
                <w:sz w:val="20"/>
                <w:szCs w:val="20"/>
              </w:rPr>
            </w:pPr>
            <w:r w:rsidRPr="007B004E">
              <w:rPr>
                <w:b/>
                <w:i/>
                <w:sz w:val="20"/>
                <w:szCs w:val="20"/>
              </w:rPr>
              <w:t>Funzioni dell'autorità di audit</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1. L'autorità di audit garantisce lo svolgimento di attività di audit sul corretto funzionamento del sistema di gestione e controllo del programma operativo e su un campione adeguato di operazioni sulla base delle spese dichiarate. I controlli di audit cui sono sottoposte le spese dichiarate si basano su un campione rappresentativo e, come regola generale, su un metodo di campionamento statistico.</w:t>
            </w:r>
          </w:p>
        </w:tc>
        <w:tc>
          <w:tcPr>
            <w:tcW w:w="7174" w:type="dxa"/>
          </w:tcPr>
          <w:p w:rsidR="00836367" w:rsidRPr="007B004E" w:rsidRDefault="00836367" w:rsidP="007B004E">
            <w:pPr>
              <w:jc w:val="both"/>
              <w:rPr>
                <w:sz w:val="20"/>
                <w:szCs w:val="20"/>
              </w:rPr>
            </w:pPr>
            <w:r w:rsidRPr="007B004E">
              <w:rPr>
                <w:sz w:val="20"/>
                <w:szCs w:val="20"/>
              </w:rPr>
              <w:t>1. L'autorità di audit di un programma operativo è incaricata in particolare dei compiti seguenti:</w:t>
            </w:r>
          </w:p>
          <w:p w:rsidR="00836367" w:rsidRPr="007B004E" w:rsidRDefault="00836367" w:rsidP="007B004E">
            <w:pPr>
              <w:jc w:val="both"/>
              <w:rPr>
                <w:sz w:val="20"/>
                <w:szCs w:val="20"/>
              </w:rPr>
            </w:pPr>
            <w:r w:rsidRPr="007B004E">
              <w:rPr>
                <w:sz w:val="20"/>
                <w:szCs w:val="20"/>
              </w:rPr>
              <w:t>a) garantire che le attività di audit siano svolte per accertare l'efficace funzionamento del sistema di gestione e di controllo del programma operativo;</w:t>
            </w:r>
          </w:p>
          <w:p w:rsidR="00836367" w:rsidRPr="007B004E" w:rsidRDefault="00836367" w:rsidP="007B004E">
            <w:pPr>
              <w:jc w:val="both"/>
              <w:rPr>
                <w:sz w:val="20"/>
                <w:szCs w:val="20"/>
              </w:rPr>
            </w:pPr>
            <w:r w:rsidRPr="007B004E">
              <w:rPr>
                <w:sz w:val="20"/>
                <w:szCs w:val="20"/>
              </w:rPr>
              <w:t>b) garantire che le attività di audit siano svolte su un campione di operazioni adeguato per la verifica delle spese dichiarate.</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Un metodo di campionamento non statistico può essere impiegato previo giudizio professionale dell'autorità di audit in casi debitamente giustificati, conformemente alle norme internazionalmente accettate in materia di audit e, in ogni caso, se il numero di operazioni in un periodo contabile è insufficiente a consentire il ricorso a un metodo statistico.</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In tali casi, la dimensione del campione è sufficiente a consentire all'autorità di audit di redigere un parere di audit valido, a norma dell'articolo 59, paragrafo 5, secondo comma, del regolamento finanziario.</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Il metodo di campionamento non statistico copre almeno il 5 % delle operazioni per le quali sono state dichiarate spese alla Commissione durante un periodo contabile e il 10 % delle spese dichiarate alla Commissione durante un periodo contabile.</w:t>
            </w:r>
          </w:p>
        </w:tc>
        <w:tc>
          <w:tcPr>
            <w:tcW w:w="7174" w:type="dxa"/>
          </w:tcPr>
          <w:p w:rsidR="00836367" w:rsidRPr="007B004E" w:rsidRDefault="00836367" w:rsidP="007B004E">
            <w:pPr>
              <w:jc w:val="both"/>
              <w:rPr>
                <w:b/>
                <w:color w:val="FF0000"/>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2. Qualora le attività di audit siano svolte da un organismo diverso dall'autorità di audit, quest'ultima si accerta che tale organismo disponga della necessaria indipendenza funzionale.</w:t>
            </w:r>
          </w:p>
        </w:tc>
        <w:tc>
          <w:tcPr>
            <w:tcW w:w="7174" w:type="dxa"/>
          </w:tcPr>
          <w:p w:rsidR="00836367" w:rsidRPr="007B004E" w:rsidRDefault="00836367" w:rsidP="007B004E">
            <w:pPr>
              <w:jc w:val="both"/>
              <w:rPr>
                <w:sz w:val="20"/>
                <w:szCs w:val="20"/>
              </w:rPr>
            </w:pPr>
            <w:r w:rsidRPr="007B004E">
              <w:rPr>
                <w:sz w:val="20"/>
                <w:szCs w:val="20"/>
              </w:rPr>
              <w:t>3. Qualora i controlli e le attività di audit di cui al paragrafo 1, lettere a) e b), vengano effettuati da un organismo diverso dall'autorità di audit, quest'ultima si accerta che gli organismi coinvolti dispongano dell'indipendenza funzionale necessaria.</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 xml:space="preserve">3. L'autorità di audit si assicura che il lavoro di audit tenga conto degli standard riconosciuti a livello internazionale in materia. </w:t>
            </w:r>
          </w:p>
        </w:tc>
        <w:tc>
          <w:tcPr>
            <w:tcW w:w="7174" w:type="dxa"/>
          </w:tcPr>
          <w:p w:rsidR="00836367" w:rsidRPr="007B004E" w:rsidRDefault="00836367" w:rsidP="007B004E">
            <w:pPr>
              <w:jc w:val="both"/>
              <w:rPr>
                <w:sz w:val="20"/>
                <w:szCs w:val="20"/>
              </w:rPr>
            </w:pPr>
            <w:r w:rsidRPr="007B004E">
              <w:rPr>
                <w:sz w:val="20"/>
                <w:szCs w:val="20"/>
              </w:rPr>
              <w:t>2. L'autorità di audit si assicura che il lavoro di audit tenga conto degli standard internazionalmente riconosciuti.</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 xml:space="preserve">4. Entro otto mesi dall'adozione del programma operativo, l'autorità di audit prepara una strategia di audit per lo svolgimento dell’attività di audit. La strategia di audit definisce la metodologia di audit, il metodo di campionamento per le attività di audit sulle operazioni e la pianificazione delle attività di audit in relazione al periodo contabile corrente e ai due successivi. La strategia di audit è aggiornata annualmente a partire dal 2016 e fino al 2024 compreso. Nel caso in cui si applichi un sistema comune di gestione e controllo a più programmi operativi, è possibile preparare un'unica </w:t>
            </w:r>
            <w:r w:rsidRPr="007B004E">
              <w:rPr>
                <w:sz w:val="20"/>
                <w:szCs w:val="20"/>
              </w:rPr>
              <w:lastRenderedPageBreak/>
              <w:t>strategia di audit per i programmi operativi interessati. L'autorità di audit presenta alla Commissione la strategia di audit su richiesta.</w:t>
            </w:r>
          </w:p>
        </w:tc>
        <w:tc>
          <w:tcPr>
            <w:tcW w:w="7174" w:type="dxa"/>
          </w:tcPr>
          <w:p w:rsidR="00836367" w:rsidRPr="007B004E" w:rsidRDefault="00836367" w:rsidP="007B004E">
            <w:pPr>
              <w:jc w:val="both"/>
              <w:rPr>
                <w:sz w:val="20"/>
                <w:szCs w:val="20"/>
              </w:rPr>
            </w:pPr>
            <w:r w:rsidRPr="007B004E">
              <w:rPr>
                <w:sz w:val="20"/>
                <w:szCs w:val="20"/>
              </w:rPr>
              <w:lastRenderedPageBreak/>
              <w:t>c) presentare alla Commissione, entro nove mesi dall'approvazione del programma operativo, una strategia di audit riguardante gli organismi preposti alle attività di audit di cui alle lettere a) e b), la metodologia utilizzata, il metodo di campionamento per le attività di audit sulle operazioni e la pianificazione indicativa delle attività di audit al fine di garantire che i principali organismi siano soggetti ad audit e che tali attività siano ripartite uniformemente sull'intero periodo di programmazione.</w:t>
            </w:r>
          </w:p>
          <w:p w:rsidR="00836367" w:rsidRPr="007B004E" w:rsidRDefault="00836367" w:rsidP="007B004E">
            <w:pPr>
              <w:jc w:val="both"/>
              <w:rPr>
                <w:sz w:val="20"/>
                <w:szCs w:val="20"/>
              </w:rPr>
            </w:pPr>
            <w:r w:rsidRPr="007B004E">
              <w:rPr>
                <w:sz w:val="20"/>
                <w:szCs w:val="20"/>
              </w:rPr>
              <w:lastRenderedPageBreak/>
              <w:t>Nel caso in cui un sistema comune si applichi a più programmi operativi, può essere comunicata una strategia unica di audit;</w:t>
            </w:r>
          </w:p>
          <w:p w:rsidR="00836367" w:rsidRPr="007B004E" w:rsidRDefault="00836367" w:rsidP="007B004E">
            <w:pPr>
              <w:jc w:val="both"/>
              <w:rPr>
                <w:sz w:val="20"/>
                <w:szCs w:val="20"/>
              </w:rPr>
            </w:pPr>
            <w:r w:rsidRPr="007B004E">
              <w:rPr>
                <w:sz w:val="20"/>
                <w:szCs w:val="20"/>
              </w:rPr>
              <w:t>4. La Commissione trasmette le proprie osservazioni in merito alla strategia di audit, presentata ai sensi del paragrafo 1, lettera c), al massimo entro tre mesi dal suo ricevimento. In mancanza di osservazioni entro tale periodo, la strategia si considera accettata.</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lastRenderedPageBreak/>
              <w:t>5. L'autorità di audit prepara:</w:t>
            </w:r>
          </w:p>
        </w:tc>
        <w:tc>
          <w:tcPr>
            <w:tcW w:w="7174" w:type="dxa"/>
          </w:tcPr>
          <w:p w:rsidR="00836367" w:rsidRPr="007B004E" w:rsidRDefault="00836367" w:rsidP="007B004E">
            <w:pPr>
              <w:jc w:val="both"/>
              <w:rPr>
                <w:sz w:val="20"/>
                <w:szCs w:val="20"/>
              </w:rPr>
            </w:pPr>
            <w:r w:rsidRPr="007B004E">
              <w:rPr>
                <w:sz w:val="20"/>
                <w:szCs w:val="20"/>
              </w:rPr>
              <w:t>d) entro il 31 dicembre di ogni anno, dal 2008 al 2015:</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a) un parere di audit a norma dell'articolo 59, paragrafo 5, secondo comma, del regolamento finanziario;</w:t>
            </w:r>
          </w:p>
        </w:tc>
        <w:tc>
          <w:tcPr>
            <w:tcW w:w="7174" w:type="dxa"/>
          </w:tcPr>
          <w:p w:rsidR="00836367" w:rsidRPr="007B004E" w:rsidRDefault="00836367" w:rsidP="007B004E">
            <w:pPr>
              <w:jc w:val="both"/>
              <w:rPr>
                <w:sz w:val="20"/>
                <w:szCs w:val="20"/>
              </w:rPr>
            </w:pPr>
            <w:r w:rsidRPr="007B004E">
              <w:rPr>
                <w:sz w:val="20"/>
                <w:szCs w:val="20"/>
              </w:rPr>
              <w:t>ii) formulare un parere, in base ai controlli ed alle attività di audit effettuati sotto la propria responsabilità, in merito all'efficace funzionamento del sistema di gestione e di controllo, indicando se questo fornisce ragionevoli garanzie circa la correttezza delle dichiarazioni di spesa presentate alla Commissione e circa la legittimità e regolarità delle transazioni soggiacenti;</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b) una relazione di controllo che evidenzi le principali risultanze delle attività di audit svolte a norma del paragrafo 1, comprese le carenze riscontrate nei sistemi di gestione e di controllo e le azioni correttive proposte e attuate.</w:t>
            </w:r>
          </w:p>
        </w:tc>
        <w:tc>
          <w:tcPr>
            <w:tcW w:w="7174" w:type="dxa"/>
          </w:tcPr>
          <w:p w:rsidR="00836367" w:rsidRPr="007B004E" w:rsidRDefault="00836367" w:rsidP="007B004E">
            <w:pPr>
              <w:jc w:val="both"/>
              <w:rPr>
                <w:sz w:val="20"/>
                <w:szCs w:val="20"/>
              </w:rPr>
            </w:pPr>
            <w:r w:rsidRPr="007B004E">
              <w:rPr>
                <w:sz w:val="20"/>
                <w:szCs w:val="20"/>
              </w:rPr>
              <w:t>i) presentare alla Commissione un rapporto annuale di controllo che evidenzi le risultanze delle attività di audit effettuate nel corso del periodo precedente di 12 mesi, che termina il 30 giugno dell'anno in questione, conformemente alla strategia di audit del programma operativo e le carenze riscontrate nei sistemi di gestione e di controllo del programma. Il primo rapporto, che deve essere presentato entro il 31 dicembre 2008, copre il periodo dal 1 gennaio 2007 al 30 giugno 2008. Le informazioni relative alle attività di audit effettuate dopo il 1° luglio 2015 sono incluse nel rapporto finale di controllo a sostegno della dichiarazione di chiusura di cui alla lettera e);</w:t>
            </w:r>
          </w:p>
        </w:tc>
      </w:tr>
      <w:tr w:rsidR="00836367" w:rsidRPr="007B004E" w:rsidTr="007B004E">
        <w:trPr>
          <w:jc w:val="center"/>
        </w:trPr>
        <w:tc>
          <w:tcPr>
            <w:tcW w:w="7138" w:type="dxa"/>
          </w:tcPr>
          <w:p w:rsidR="00836367" w:rsidRPr="007B004E" w:rsidRDefault="00836367" w:rsidP="007B004E">
            <w:pPr>
              <w:jc w:val="both"/>
              <w:rPr>
                <w:sz w:val="20"/>
                <w:szCs w:val="20"/>
              </w:rPr>
            </w:pPr>
          </w:p>
        </w:tc>
        <w:tc>
          <w:tcPr>
            <w:tcW w:w="7174" w:type="dxa"/>
          </w:tcPr>
          <w:p w:rsidR="00836367" w:rsidRPr="007B004E" w:rsidRDefault="00836367" w:rsidP="007B004E">
            <w:pPr>
              <w:jc w:val="both"/>
              <w:rPr>
                <w:sz w:val="20"/>
                <w:szCs w:val="20"/>
              </w:rPr>
            </w:pPr>
            <w:r w:rsidRPr="007B004E">
              <w:rPr>
                <w:sz w:val="20"/>
                <w:szCs w:val="20"/>
              </w:rPr>
              <w:t>iii) presentare, nei casi previsti dall'articolo 88, una dichiarazione di chiusura parziale in cui si attesti la legittimità e la regolarità della spesa in questione.</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Nel caso in cui si applichi un sistema comune di gestione e controllo a più programmi operativi, le informazioni di cui al primo comma, lettera b), possono essere raggruppate in una relazione unica.</w:t>
            </w:r>
          </w:p>
        </w:tc>
        <w:tc>
          <w:tcPr>
            <w:tcW w:w="7174" w:type="dxa"/>
          </w:tcPr>
          <w:p w:rsidR="00836367" w:rsidRPr="007B004E" w:rsidRDefault="00836367" w:rsidP="007B004E">
            <w:pPr>
              <w:jc w:val="both"/>
              <w:rPr>
                <w:sz w:val="20"/>
                <w:szCs w:val="20"/>
              </w:rPr>
            </w:pPr>
            <w:r w:rsidRPr="007B004E">
              <w:rPr>
                <w:sz w:val="20"/>
                <w:szCs w:val="20"/>
              </w:rPr>
              <w:t>Nel caso in cui un sistema comune si applichi a vari programmi operativi, le informazioni di cui al punto i) possono essere raggruppate in rapporto unico e il parere e la dichiarazione di cui ai punti ii) e iii) possono riguardare tutti i programmi operativi interessati.</w:t>
            </w:r>
          </w:p>
        </w:tc>
      </w:tr>
      <w:tr w:rsidR="00836367" w:rsidRPr="007B004E" w:rsidTr="007B004E">
        <w:trPr>
          <w:jc w:val="center"/>
        </w:trPr>
        <w:tc>
          <w:tcPr>
            <w:tcW w:w="7138" w:type="dxa"/>
          </w:tcPr>
          <w:p w:rsidR="00836367" w:rsidRPr="007B004E" w:rsidRDefault="00836367" w:rsidP="007B004E">
            <w:pPr>
              <w:jc w:val="both"/>
              <w:rPr>
                <w:sz w:val="20"/>
                <w:szCs w:val="20"/>
              </w:rPr>
            </w:pPr>
          </w:p>
        </w:tc>
        <w:tc>
          <w:tcPr>
            <w:tcW w:w="7174" w:type="dxa"/>
          </w:tcPr>
          <w:p w:rsidR="00836367" w:rsidRPr="007B004E" w:rsidRDefault="00836367" w:rsidP="007B004E">
            <w:pPr>
              <w:jc w:val="both"/>
              <w:rPr>
                <w:sz w:val="20"/>
                <w:szCs w:val="20"/>
              </w:rPr>
            </w:pPr>
            <w:r w:rsidRPr="007B004E">
              <w:rPr>
                <w:sz w:val="20"/>
                <w:szCs w:val="20"/>
              </w:rPr>
              <w:t>e) presentare alla Commissione, entro il 31 marzo 2017, una dichiarazione di chiusura che attesti la validità della domanda di pagamento del saldo finale e la legittimità e la regolarità delle transazioni soggiacenti coperte dalla dichiarazione finale delle spese, accompagnata da un rapporto di controllo finale.</w:t>
            </w: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6. Al fine di garantire condizioni uniformi di esecuzione del presente articolo, la Commissione adotta atti di esecuzione per stabilire i modelli per la strategia di audit, il parere di audit e la relazione di controllo. Tali atti di esecuzione sono adottati secondo la procedura consultiva di cui all'articolo 150, paragrafo 2.</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lastRenderedPageBreak/>
              <w:t>7. Alla Commissione è conferito il potere di adottare atti delegati conformemente all'articolo 149 riguardo all'ambito e ai contenuti degli audit relativi alle operazioni e ai conti, nonché la metodologia per la selezione del campione di operazioni di cui al paragrafo 1 del presente articolo.</w:t>
            </w:r>
          </w:p>
        </w:tc>
        <w:tc>
          <w:tcPr>
            <w:tcW w:w="7174" w:type="dxa"/>
          </w:tcPr>
          <w:p w:rsidR="00836367" w:rsidRPr="007B004E" w:rsidRDefault="00836367" w:rsidP="007B004E">
            <w:pPr>
              <w:jc w:val="both"/>
              <w:rPr>
                <w:sz w:val="20"/>
                <w:szCs w:val="20"/>
              </w:rPr>
            </w:pPr>
          </w:p>
        </w:tc>
      </w:tr>
      <w:tr w:rsidR="00836367" w:rsidRPr="007B004E" w:rsidTr="007B004E">
        <w:trPr>
          <w:jc w:val="center"/>
        </w:trPr>
        <w:tc>
          <w:tcPr>
            <w:tcW w:w="7138" w:type="dxa"/>
          </w:tcPr>
          <w:p w:rsidR="00836367" w:rsidRPr="007B004E" w:rsidRDefault="00836367" w:rsidP="007B004E">
            <w:pPr>
              <w:jc w:val="both"/>
              <w:rPr>
                <w:sz w:val="20"/>
                <w:szCs w:val="20"/>
              </w:rPr>
            </w:pPr>
            <w:r w:rsidRPr="007B004E">
              <w:rPr>
                <w:sz w:val="20"/>
                <w:szCs w:val="20"/>
              </w:rPr>
              <w:t>8. Alla Commissione è conferito il potere di adottare atti delegati conformemente all'articolo 149 riguardo alle norme dettagliate sull'uso dei dati raccolti durante gli audit effettuati da funzionari della Commissione o da rappresentanti autorizzati della Commissione.</w:t>
            </w:r>
          </w:p>
        </w:tc>
        <w:tc>
          <w:tcPr>
            <w:tcW w:w="7174" w:type="dxa"/>
          </w:tcPr>
          <w:p w:rsidR="00836367" w:rsidRPr="007B004E" w:rsidRDefault="00836367" w:rsidP="007B004E">
            <w:pPr>
              <w:jc w:val="both"/>
              <w:rPr>
                <w:sz w:val="20"/>
                <w:szCs w:val="20"/>
              </w:rPr>
            </w:pPr>
          </w:p>
        </w:tc>
      </w:tr>
    </w:tbl>
    <w:p w:rsidR="00836367" w:rsidRDefault="00836367">
      <w:pPr>
        <w:sectPr w:rsidR="00836367" w:rsidSect="009A3444">
          <w:footerReference w:type="default" r:id="rId7"/>
          <w:pgSz w:w="16838" w:h="11906" w:orient="landscape"/>
          <w:pgMar w:top="720" w:right="720" w:bottom="720" w:left="720" w:header="709" w:footer="709" w:gutter="0"/>
          <w:cols w:space="708"/>
          <w:docGrid w:linePitch="360"/>
        </w:sectPr>
      </w:pPr>
    </w:p>
    <w:p w:rsidR="00836367" w:rsidRDefault="00836367" w:rsidP="00147592">
      <w:pPr>
        <w:jc w:val="center"/>
        <w:rPr>
          <w:b/>
        </w:rPr>
      </w:pPr>
      <w:r w:rsidRPr="00147592">
        <w:rPr>
          <w:b/>
        </w:rPr>
        <w:lastRenderedPageBreak/>
        <w:t>PRIME RIFLESSIONI</w:t>
      </w:r>
    </w:p>
    <w:p w:rsidR="00836367" w:rsidRDefault="00836367" w:rsidP="00147592">
      <w:pPr>
        <w:jc w:val="center"/>
        <w:rPr>
          <w:b/>
        </w:rPr>
      </w:pPr>
    </w:p>
    <w:p w:rsidR="00836367" w:rsidRDefault="00836367" w:rsidP="009F6A38">
      <w:pPr>
        <w:jc w:val="both"/>
      </w:pPr>
      <w:r w:rsidRPr="006E6CE9">
        <w:t xml:space="preserve">Il capo II del </w:t>
      </w:r>
      <w:r>
        <w:t>Regolamento (UE) n.1303/2013 è dedicato alle Autorità del Programma Operativo, in particolare</w:t>
      </w:r>
      <w:r w:rsidR="00B90F7B">
        <w:t>,</w:t>
      </w:r>
      <w:r>
        <w:t xml:space="preserve"> in continuit</w:t>
      </w:r>
      <w:r w:rsidR="00B90F7B">
        <w:t xml:space="preserve">à con le passate programmazioni, </w:t>
      </w:r>
      <w:r>
        <w:t xml:space="preserve">il regolamento generale dispone che per ciascun PO vi sia un’Autorità di gestione, </w:t>
      </w:r>
      <w:r w:rsidR="00B90F7B" w:rsidRPr="006854CA">
        <w:t xml:space="preserve">eventualmente </w:t>
      </w:r>
      <w:r w:rsidRPr="006854CA">
        <w:t>u</w:t>
      </w:r>
      <w:r>
        <w:t>n’Autorità di Certificazione e</w:t>
      </w:r>
      <w:r w:rsidR="00B90F7B">
        <w:t>,</w:t>
      </w:r>
      <w:r>
        <w:t xml:space="preserve"> un’Autorità di Audit.</w:t>
      </w:r>
    </w:p>
    <w:p w:rsidR="00836367" w:rsidRDefault="00836367" w:rsidP="009F6A38">
      <w:pPr>
        <w:jc w:val="both"/>
      </w:pPr>
      <w:r>
        <w:t xml:space="preserve">A differenza però della programmazione 2007-2013 il legislatore ha previsto per il prossimo periodo una </w:t>
      </w:r>
      <w:r w:rsidRPr="00387BC0">
        <w:rPr>
          <w:u w:val="single"/>
        </w:rPr>
        <w:t>procedura per la designazione</w:t>
      </w:r>
      <w:r>
        <w:t xml:space="preserve"> dell’autorità di gestione e, se del caso, dell’autorità di certificazione, che è uno dei principali elementi di novità della programmazione 2014-2020. Per un approfondimento sulla procedura di designazione si rimanda al lavoro di analisi di Tecnostruttura che ha portato recentemente all’elaborazione della proposta di indice ragionato della Descrizione delle funzioni e delle procedure </w:t>
      </w:r>
      <w:r w:rsidRPr="00B13B79">
        <w:t>(</w:t>
      </w:r>
      <w:proofErr w:type="spellStart"/>
      <w:r w:rsidRPr="00B13B79">
        <w:t>cfr</w:t>
      </w:r>
      <w:proofErr w:type="spellEnd"/>
      <w:r w:rsidRPr="00B13B79">
        <w:t xml:space="preserve"> </w:t>
      </w:r>
      <w:proofErr w:type="spellStart"/>
      <w:r w:rsidRPr="00B13B79">
        <w:t>all</w:t>
      </w:r>
      <w:proofErr w:type="spellEnd"/>
      <w:r w:rsidRPr="00B13B79">
        <w:t xml:space="preserve">. nota </w:t>
      </w:r>
      <w:proofErr w:type="spellStart"/>
      <w:r w:rsidRPr="00B13B79">
        <w:t>prot</w:t>
      </w:r>
      <w:proofErr w:type="spellEnd"/>
      <w:r w:rsidRPr="00B13B79">
        <w:t>. 0422/FSE del 17 febbraio 2014).</w:t>
      </w:r>
    </w:p>
    <w:p w:rsidR="00836367" w:rsidRDefault="00836367" w:rsidP="009F6A38">
      <w:pPr>
        <w:jc w:val="both"/>
      </w:pPr>
      <w:r>
        <w:t xml:space="preserve">A seguire si riportano, invece, gli elementi di novità e di continuità relativi alle funzioni di ciascuna autorità, che emergono da una comparazione tra il regolamento recante disposizioni comuni 2014-2020 e i regolamenti dell’attuale periodo di programmazione. Le funzioni delle autorità costituiscono, infatti, uno dei riferimenti puntuali e importanti, stabiliti dal regolamento utili ad una lettura d’insieme dei sistemi di gestione e controllo. </w:t>
      </w:r>
    </w:p>
    <w:p w:rsidR="00836367" w:rsidRPr="006854CA" w:rsidRDefault="00836367" w:rsidP="009F6A38">
      <w:pPr>
        <w:jc w:val="both"/>
      </w:pPr>
      <w:r>
        <w:t xml:space="preserve">In breve, </w:t>
      </w:r>
      <w:r w:rsidR="002915DE" w:rsidRPr="006854CA">
        <w:t xml:space="preserve">come nel passato, </w:t>
      </w:r>
      <w:r w:rsidRPr="006854CA">
        <w:t xml:space="preserve">l’autorità di gestione ha la primaria responsabilità della gestione del PO e svolge funzioni legate anche al controllo e alla gestione finanziaria delle operazioni. L’autorità di certificazione, le cui funzioni potranno essere svolte anche dall’autorità di gestione, ha il compito di compilare e inviare le domande di pagamento alla CE, e prepara i bilanci/conti annuali certificandone la completezza, esattezza e la veridicità. In ultimo, l’autorità di audit, è incaricata di svolgere le attività di audit sui sistemi di gestione e controllo dei PO e su un campione adeguato e rappresentativo di operazioni sulle spese dichiarate e sui conti. </w:t>
      </w:r>
    </w:p>
    <w:p w:rsidR="00836367" w:rsidRPr="006854CA" w:rsidRDefault="00836367" w:rsidP="00147592">
      <w:pPr>
        <w:jc w:val="center"/>
        <w:rPr>
          <w:b/>
        </w:rPr>
      </w:pPr>
    </w:p>
    <w:p w:rsidR="00836367" w:rsidRPr="006854CA" w:rsidRDefault="00836367" w:rsidP="00571BCF">
      <w:pPr>
        <w:spacing w:before="0" w:after="160" w:line="259" w:lineRule="auto"/>
        <w:jc w:val="center"/>
        <w:rPr>
          <w:b/>
          <w:szCs w:val="24"/>
          <w:lang w:eastAsia="it-IT"/>
        </w:rPr>
      </w:pPr>
      <w:r w:rsidRPr="006854CA">
        <w:rPr>
          <w:b/>
          <w:szCs w:val="24"/>
          <w:lang w:eastAsia="it-IT"/>
        </w:rPr>
        <w:t>Funzioni dell’Autorità di Gestione</w:t>
      </w:r>
    </w:p>
    <w:p w:rsidR="00836367" w:rsidRPr="006854CA" w:rsidRDefault="00836367" w:rsidP="00571BCF">
      <w:pPr>
        <w:spacing w:before="0" w:after="160" w:line="259" w:lineRule="auto"/>
        <w:jc w:val="center"/>
        <w:rPr>
          <w:i/>
          <w:sz w:val="22"/>
          <w:lang w:eastAsia="it-IT"/>
        </w:rPr>
      </w:pPr>
      <w:r w:rsidRPr="006854CA">
        <w:rPr>
          <w:i/>
          <w:sz w:val="22"/>
          <w:lang w:eastAsia="it-IT"/>
        </w:rPr>
        <w:t>(Articolo 125 Regolamento disposizioni comuni)</w:t>
      </w:r>
    </w:p>
    <w:p w:rsidR="00836367" w:rsidRPr="006854CA" w:rsidRDefault="00836367" w:rsidP="009F4404">
      <w:pPr>
        <w:jc w:val="both"/>
      </w:pPr>
      <w:r w:rsidRPr="006854CA">
        <w:t xml:space="preserve">Il Regolamento 1303/2013 sostanzialmente affida alle Autorità di Gestione le medesime funzioni rispetto a quanto indicato nel Regolamento generale 1083/2006 e nel Regolamento di attuazione 1828/2006, integrate però con alcune novità. </w:t>
      </w:r>
    </w:p>
    <w:p w:rsidR="00836367" w:rsidRPr="006854CA" w:rsidRDefault="00836367" w:rsidP="009F4404">
      <w:pPr>
        <w:jc w:val="both"/>
      </w:pPr>
      <w:r w:rsidRPr="006854CA">
        <w:t>L’articolazione delle funzioni dell’</w:t>
      </w:r>
      <w:proofErr w:type="spellStart"/>
      <w:r w:rsidRPr="006854CA">
        <w:t>AdG</w:t>
      </w:r>
      <w:proofErr w:type="spellEnd"/>
      <w:r w:rsidRPr="006854CA">
        <w:t xml:space="preserve"> è, infatti, più dettagliata rispetto al periodo 2007-2013 ed è suddivisa per ambiti principali, ossia la gestione del PO, la selezione delle operazioni, la gestio</w:t>
      </w:r>
      <w:r w:rsidR="002915DE" w:rsidRPr="006854CA">
        <w:t>ne finanziaria ed il controllo.</w:t>
      </w:r>
    </w:p>
    <w:p w:rsidR="00836367" w:rsidRPr="006854CA" w:rsidRDefault="00836367" w:rsidP="00AA4523">
      <w:pPr>
        <w:jc w:val="both"/>
      </w:pPr>
      <w:r w:rsidRPr="006854CA">
        <w:t xml:space="preserve">Nell’ambito della </w:t>
      </w:r>
      <w:r w:rsidRPr="006854CA">
        <w:rPr>
          <w:b/>
          <w:u w:val="single"/>
        </w:rPr>
        <w:t>gestione del PO</w:t>
      </w:r>
      <w:r w:rsidRPr="006854CA">
        <w:t xml:space="preserve"> (comma 2) le funzioni attribuite all’</w:t>
      </w:r>
      <w:proofErr w:type="spellStart"/>
      <w:r w:rsidRPr="006854CA">
        <w:t>AdG</w:t>
      </w:r>
      <w:proofErr w:type="spellEnd"/>
      <w:r w:rsidRPr="006854CA">
        <w:t xml:space="preserve"> nei confronti del </w:t>
      </w:r>
      <w:r w:rsidRPr="006854CA">
        <w:rPr>
          <w:b/>
        </w:rPr>
        <w:t xml:space="preserve">Comitato di Sorveglianza </w:t>
      </w:r>
      <w:r w:rsidRPr="006854CA">
        <w:t xml:space="preserve">sembrano </w:t>
      </w:r>
      <w:r w:rsidR="00CD7CA4" w:rsidRPr="006854CA">
        <w:t>delineate in modo diverso</w:t>
      </w:r>
      <w:r w:rsidRPr="006854CA">
        <w:t>; si tratta, infatti, di un ruolo di “assistenza” vera e propria piuttosto che di guida. L’</w:t>
      </w:r>
      <w:proofErr w:type="spellStart"/>
      <w:r w:rsidRPr="006854CA">
        <w:t>AdG</w:t>
      </w:r>
      <w:proofErr w:type="spellEnd"/>
      <w:r w:rsidRPr="006854CA">
        <w:t xml:space="preserve"> dovrà fornire al Comitato tutte le informazioni e i dati necessari che gli consentano di adempiere agli obblighi regolamentari ad esso attribuiti. Tali dati riguardano, ad esempio, i progressi del programma operativo nel raggiungimento degli obiettivi, i dati finanziari, i dati sui target intermedi definiti nel quadro di riferimento dell’efficacia dell’attuazione, lo stato di avanzamento delle azioni dirette all'adempimento delle condizionalità ex ante, ecc. </w:t>
      </w:r>
    </w:p>
    <w:p w:rsidR="00836367" w:rsidRDefault="00836367" w:rsidP="00BF3F47">
      <w:pPr>
        <w:jc w:val="both"/>
      </w:pPr>
      <w:r w:rsidRPr="006854CA">
        <w:t>In continuità con il passato all’</w:t>
      </w:r>
      <w:proofErr w:type="spellStart"/>
      <w:r w:rsidRPr="006854CA">
        <w:t>AdG</w:t>
      </w:r>
      <w:proofErr w:type="spellEnd"/>
      <w:r w:rsidRPr="006854CA">
        <w:t xml:space="preserve"> spetta il compito di elaborare la </w:t>
      </w:r>
      <w:r w:rsidRPr="006854CA">
        <w:rPr>
          <w:b/>
        </w:rPr>
        <w:t>relazione di attuazione annuale</w:t>
      </w:r>
      <w:r w:rsidRPr="006854CA">
        <w:t xml:space="preserve"> (ex Rapporto annuale di esecuzione) che dovrà essere presentata alla CE, previa approvazione del </w:t>
      </w:r>
      <w:proofErr w:type="spellStart"/>
      <w:r w:rsidRPr="006854CA">
        <w:t>CdS</w:t>
      </w:r>
      <w:proofErr w:type="spellEnd"/>
      <w:r w:rsidRPr="006854CA">
        <w:t>. L’</w:t>
      </w:r>
      <w:proofErr w:type="spellStart"/>
      <w:r w:rsidRPr="006854CA">
        <w:t>AdG</w:t>
      </w:r>
      <w:proofErr w:type="spellEnd"/>
      <w:r w:rsidRPr="006854CA">
        <w:t xml:space="preserve"> </w:t>
      </w:r>
      <w:r w:rsidR="00CF404F" w:rsidRPr="006854CA">
        <w:t>rimane</w:t>
      </w:r>
      <w:r w:rsidRPr="006854CA">
        <w:t xml:space="preserve"> responsabile inoltre</w:t>
      </w:r>
      <w:r>
        <w:t xml:space="preserve"> del</w:t>
      </w:r>
      <w:r w:rsidRPr="00717681">
        <w:t xml:space="preserve"> </w:t>
      </w:r>
      <w:r w:rsidRPr="00717681">
        <w:rPr>
          <w:b/>
        </w:rPr>
        <w:t>sistema</w:t>
      </w:r>
      <w:r>
        <w:rPr>
          <w:b/>
        </w:rPr>
        <w:t xml:space="preserve"> informativo </w:t>
      </w:r>
      <w:r w:rsidRPr="009578D8">
        <w:t>nel quale devono essere registrati</w:t>
      </w:r>
      <w:r>
        <w:t xml:space="preserve"> </w:t>
      </w:r>
      <w:r>
        <w:lastRenderedPageBreak/>
        <w:t xml:space="preserve">e </w:t>
      </w:r>
      <w:r w:rsidRPr="00155618">
        <w:t>conservati i dati relativi</w:t>
      </w:r>
      <w:r w:rsidRPr="00717681">
        <w:t xml:space="preserve"> </w:t>
      </w:r>
      <w:r>
        <w:t>a ciascuna operazione. Su questo l’art</w:t>
      </w:r>
      <w:r w:rsidR="00626DC0">
        <w:t>icolo</w:t>
      </w:r>
      <w:r>
        <w:t xml:space="preserve"> fa esplicito riferimento agli allegati I e II del regolamento FSE per quanto concerne il dettaglio dei dati da inserire nel sistema. </w:t>
      </w:r>
    </w:p>
    <w:p w:rsidR="00836367" w:rsidRDefault="00836367" w:rsidP="00BF3F47">
      <w:pPr>
        <w:jc w:val="both"/>
      </w:pPr>
      <w:r>
        <w:t>Sempre nell’ambito della gestione del PO, la norma prevede che l’</w:t>
      </w:r>
      <w:proofErr w:type="spellStart"/>
      <w:r>
        <w:t>AdG</w:t>
      </w:r>
      <w:proofErr w:type="spellEnd"/>
      <w:r>
        <w:t xml:space="preserve"> renda disponibili agli organismi intermedi e ai beneficiari le informazioni pertinenti rispettivamente per l’esecuzione dei loro compiti e per l’attuazione delle operazioni.</w:t>
      </w:r>
    </w:p>
    <w:p w:rsidR="00836367" w:rsidRPr="006854CA" w:rsidRDefault="005C50AF" w:rsidP="00452D6A">
      <w:pPr>
        <w:jc w:val="both"/>
        <w:rPr>
          <w:color w:val="1F497D"/>
        </w:rPr>
      </w:pPr>
      <w:r w:rsidRPr="006854CA">
        <w:t>Rispetto al</w:t>
      </w:r>
      <w:r w:rsidR="00836367" w:rsidRPr="006854CA">
        <w:t>la passata programmazione, è reso più esplicito il ruolo dell’</w:t>
      </w:r>
      <w:proofErr w:type="spellStart"/>
      <w:r w:rsidR="00836367" w:rsidRPr="006854CA">
        <w:t>AdG</w:t>
      </w:r>
      <w:proofErr w:type="spellEnd"/>
      <w:r w:rsidR="00836367" w:rsidRPr="006854CA">
        <w:t xml:space="preserve"> nella </w:t>
      </w:r>
      <w:r w:rsidR="00836367" w:rsidRPr="006854CA">
        <w:rPr>
          <w:b/>
          <w:bCs/>
          <w:u w:val="single"/>
        </w:rPr>
        <w:t>selezione delle operazioni</w:t>
      </w:r>
      <w:r w:rsidR="00836367" w:rsidRPr="006854CA">
        <w:t xml:space="preserve"> (comma 3), ed in particolare l’elaborazione e applicazione di procedure e criteri di selezione adeguati. In effetti, nella regolamentazione comunitaria 2007-2013 non è espressamente chiarito che sia l’</w:t>
      </w:r>
      <w:proofErr w:type="spellStart"/>
      <w:r w:rsidR="00836367" w:rsidRPr="006854CA">
        <w:t>AdG</w:t>
      </w:r>
      <w:proofErr w:type="spellEnd"/>
      <w:r w:rsidR="00836367" w:rsidRPr="006854CA">
        <w:t xml:space="preserve"> a dover elaborare e poi applicare criteri e procedure di selezione, ma tale compito si evince dalla lettura del combinato disposto dell’art. 60 “</w:t>
      </w:r>
      <w:r w:rsidR="00836367" w:rsidRPr="006854CA">
        <w:rPr>
          <w:i/>
          <w:iCs/>
        </w:rPr>
        <w:t>l’</w:t>
      </w:r>
      <w:proofErr w:type="spellStart"/>
      <w:r w:rsidR="00836367" w:rsidRPr="006854CA">
        <w:rPr>
          <w:i/>
          <w:iCs/>
        </w:rPr>
        <w:t>AdG</w:t>
      </w:r>
      <w:proofErr w:type="spellEnd"/>
      <w:r w:rsidR="00836367" w:rsidRPr="006854CA">
        <w:rPr>
          <w:i/>
          <w:iCs/>
        </w:rPr>
        <w:t xml:space="preserve"> garantisce che le operazioni siano selezionate co</w:t>
      </w:r>
      <w:r w:rsidR="00505976" w:rsidRPr="006854CA">
        <w:rPr>
          <w:i/>
          <w:iCs/>
        </w:rPr>
        <w:t>nformeme</w:t>
      </w:r>
      <w:r w:rsidR="00836367" w:rsidRPr="006854CA">
        <w:rPr>
          <w:i/>
          <w:iCs/>
        </w:rPr>
        <w:t>nte ai criteri applicabili al PO</w:t>
      </w:r>
      <w:r w:rsidR="00836367" w:rsidRPr="006854CA">
        <w:t xml:space="preserve">”, art. 65 </w:t>
      </w:r>
      <w:proofErr w:type="spellStart"/>
      <w:r w:rsidR="00836367" w:rsidRPr="006854CA">
        <w:t>lett</w:t>
      </w:r>
      <w:proofErr w:type="spellEnd"/>
      <w:r w:rsidR="00836367" w:rsidRPr="006854CA">
        <w:t>. a): “</w:t>
      </w:r>
      <w:r w:rsidR="00836367" w:rsidRPr="006854CA">
        <w:rPr>
          <w:i/>
          <w:iCs/>
        </w:rPr>
        <w:t xml:space="preserve">il </w:t>
      </w:r>
      <w:proofErr w:type="spellStart"/>
      <w:r w:rsidR="00836367" w:rsidRPr="006854CA">
        <w:rPr>
          <w:i/>
          <w:iCs/>
        </w:rPr>
        <w:t>CdS</w:t>
      </w:r>
      <w:proofErr w:type="spellEnd"/>
      <w:r w:rsidR="00836367" w:rsidRPr="006854CA">
        <w:rPr>
          <w:i/>
          <w:iCs/>
        </w:rPr>
        <w:t xml:space="preserve"> esamina ed approva i criteri di selezione</w:t>
      </w:r>
      <w:r w:rsidR="00836367" w:rsidRPr="006854CA">
        <w:t>” e art. 56.3 “</w:t>
      </w:r>
      <w:r w:rsidR="00836367" w:rsidRPr="006854CA">
        <w:rPr>
          <w:i/>
          <w:iCs/>
        </w:rPr>
        <w:t>una spesa è ammissibile quando sia stata sostenuta da operazioni decise dall’</w:t>
      </w:r>
      <w:proofErr w:type="spellStart"/>
      <w:r w:rsidR="00836367" w:rsidRPr="006854CA">
        <w:rPr>
          <w:i/>
          <w:iCs/>
        </w:rPr>
        <w:t>AdG</w:t>
      </w:r>
      <w:proofErr w:type="spellEnd"/>
      <w:r w:rsidR="00836367" w:rsidRPr="006854CA">
        <w:rPr>
          <w:i/>
          <w:iCs/>
        </w:rPr>
        <w:t xml:space="preserve"> conformemente ai criteri fissati dal </w:t>
      </w:r>
      <w:proofErr w:type="spellStart"/>
      <w:r w:rsidR="00836367" w:rsidRPr="006854CA">
        <w:rPr>
          <w:i/>
          <w:iCs/>
        </w:rPr>
        <w:t>CdS</w:t>
      </w:r>
      <w:proofErr w:type="spellEnd"/>
      <w:r w:rsidR="00836367" w:rsidRPr="006854CA">
        <w:t>”.</w:t>
      </w:r>
      <w:r w:rsidR="00C91FAE" w:rsidRPr="006854CA">
        <w:t xml:space="preserve"> </w:t>
      </w:r>
      <w:r w:rsidR="00836367" w:rsidRPr="006854CA">
        <w:t xml:space="preserve">Si evidenzia, inoltre, la nuova specifica indicazione, di merito, del legislatore sul fatto che le </w:t>
      </w:r>
      <w:r w:rsidR="00836367" w:rsidRPr="006854CA">
        <w:rPr>
          <w:b/>
        </w:rPr>
        <w:t xml:space="preserve">procedure e i criteri di selezione </w:t>
      </w:r>
      <w:r w:rsidR="00836367" w:rsidRPr="006854CA">
        <w:t>debbano essere</w:t>
      </w:r>
      <w:r w:rsidR="00836367" w:rsidRPr="006854CA">
        <w:rPr>
          <w:b/>
        </w:rPr>
        <w:t xml:space="preserve"> adeguati</w:t>
      </w:r>
      <w:r w:rsidR="00836367" w:rsidRPr="006854CA">
        <w:rPr>
          <w:b/>
          <w:color w:val="1F497D"/>
        </w:rPr>
        <w:t xml:space="preserve"> </w:t>
      </w:r>
      <w:r w:rsidR="00836367" w:rsidRPr="006854CA">
        <w:t>(lettera a. i), ii), iii)). Di fatto, comunque,</w:t>
      </w:r>
      <w:r w:rsidR="00836367" w:rsidRPr="006854CA">
        <w:rPr>
          <w:color w:val="1F497D"/>
        </w:rPr>
        <w:t xml:space="preserve"> </w:t>
      </w:r>
      <w:r w:rsidR="00836367" w:rsidRPr="006854CA">
        <w:t xml:space="preserve">anche in questa programmazione si è tenuto conto del rispetto dei principi trasversali e del rispetto dei principi di parità di accesso e trasparenza sia nelle procedure che nei criteri di selezione. L’esplicito riferimento al conseguimento degli obiettivi e dei risultati specifici della pertinente priorità (iii) appare, invece, </w:t>
      </w:r>
      <w:r w:rsidR="00853752">
        <w:t>una</w:t>
      </w:r>
      <w:r w:rsidR="00836367" w:rsidRPr="006854CA">
        <w:t xml:space="preserve"> sottolineatura nuova e puntuale del regolamento</w:t>
      </w:r>
      <w:r w:rsidR="00836367" w:rsidRPr="006854CA">
        <w:rPr>
          <w:color w:val="1F497D"/>
        </w:rPr>
        <w:t xml:space="preserve"> </w:t>
      </w:r>
      <w:r w:rsidR="00836367" w:rsidRPr="006854CA">
        <w:t xml:space="preserve">1303/2013, presente comunque anche nell’ambito del </w:t>
      </w:r>
      <w:proofErr w:type="spellStart"/>
      <w:r w:rsidR="00836367" w:rsidRPr="006854CA">
        <w:t>Template</w:t>
      </w:r>
      <w:proofErr w:type="spellEnd"/>
      <w:r w:rsidR="00836367" w:rsidRPr="006854CA">
        <w:t xml:space="preserve"> del PO (2.A.6.2). </w:t>
      </w:r>
    </w:p>
    <w:p w:rsidR="00836367" w:rsidRPr="006854CA" w:rsidRDefault="00836367" w:rsidP="00452D6A">
      <w:pPr>
        <w:jc w:val="both"/>
        <w:rPr>
          <w:strike/>
        </w:rPr>
      </w:pPr>
      <w:r w:rsidRPr="006854CA">
        <w:t>L’</w:t>
      </w:r>
      <w:proofErr w:type="spellStart"/>
      <w:r w:rsidRPr="006854CA">
        <w:t>AdG</w:t>
      </w:r>
      <w:proofErr w:type="spellEnd"/>
      <w:r w:rsidRPr="006854CA">
        <w:t xml:space="preserve"> dovrà poi garantire che l’operazione selezionata rientri nell’ambito di applicazione del fondo/dei fondi </w:t>
      </w:r>
      <w:r w:rsidRPr="00853752">
        <w:t xml:space="preserve">e possa essere attribuita ad una categoria di </w:t>
      </w:r>
      <w:r w:rsidR="00A326CC" w:rsidRPr="00853752">
        <w:t>intervento</w:t>
      </w:r>
      <w:r w:rsidR="00242C2C" w:rsidRPr="00853752">
        <w:t xml:space="preserve"> che</w:t>
      </w:r>
      <w:r w:rsidR="0011257C" w:rsidRPr="00853752">
        <w:t>,</w:t>
      </w:r>
      <w:r w:rsidR="00242C2C" w:rsidRPr="00853752">
        <w:t xml:space="preserve"> come si evince dall’allegato I del Reg. di esecuzione n. 215/2004</w:t>
      </w:r>
      <w:r w:rsidR="0011257C" w:rsidRPr="00853752">
        <w:t>,</w:t>
      </w:r>
      <w:r w:rsidR="00242C2C" w:rsidRPr="00853752">
        <w:t xml:space="preserve"> corrisponde alle priorità d’investimento</w:t>
      </w:r>
      <w:r w:rsidR="00505976" w:rsidRPr="00853752">
        <w:t>.</w:t>
      </w:r>
      <w:r w:rsidR="00505976" w:rsidRPr="006854CA">
        <w:t xml:space="preserve"> </w:t>
      </w:r>
      <w:r w:rsidRPr="006854CA">
        <w:t xml:space="preserve"> </w:t>
      </w:r>
    </w:p>
    <w:p w:rsidR="00836367" w:rsidRPr="006854CA" w:rsidRDefault="00836367" w:rsidP="00FE3C12">
      <w:pPr>
        <w:jc w:val="both"/>
      </w:pPr>
      <w:r w:rsidRPr="006854CA">
        <w:t>Inoltre, in linea con le disposizioni già previste nel periodo 2007-2013 (art. 13 del Reg. 1828/2006), l’</w:t>
      </w:r>
      <w:proofErr w:type="spellStart"/>
      <w:r w:rsidRPr="006854CA">
        <w:t>AdG</w:t>
      </w:r>
      <w:proofErr w:type="spellEnd"/>
      <w:r w:rsidRPr="006854CA">
        <w:t xml:space="preserve"> dovrà provvedere affinché i beneficiari vengano informati sulle condizioni per il sostegno relative a ciascuna operazione, compresi i requisiti specifici relativi ai prodotti o ai servizi da fornire nel quadro dell’operazione, il piano finanziario e il termine dell’esecuzione, fornendo loro un apposito documento, e assicurandosi che sia</w:t>
      </w:r>
      <w:r w:rsidR="003E3375" w:rsidRPr="006854CA">
        <w:t>no</w:t>
      </w:r>
      <w:r w:rsidRPr="006854CA">
        <w:t xml:space="preserve"> in grado di rispettare tali condizioni prima dell’approvazione dell’operazione. </w:t>
      </w:r>
    </w:p>
    <w:p w:rsidR="00836367" w:rsidRPr="006854CA" w:rsidRDefault="00836367" w:rsidP="009F4404">
      <w:pPr>
        <w:jc w:val="both"/>
      </w:pPr>
      <w:r w:rsidRPr="006854CA">
        <w:t xml:space="preserve">Il nuovo regolamento </w:t>
      </w:r>
      <w:r w:rsidR="003E3375" w:rsidRPr="006854CA">
        <w:t>introduce</w:t>
      </w:r>
      <w:r w:rsidRPr="006854CA">
        <w:t xml:space="preserve">, poi, la possibilità di finanziare un’operazione iniziata prima della presentazione di una domanda di finanziamento, purché </w:t>
      </w:r>
      <w:r w:rsidR="00730774" w:rsidRPr="006854CA">
        <w:t>l’</w:t>
      </w:r>
      <w:proofErr w:type="spellStart"/>
      <w:r w:rsidR="00730774" w:rsidRPr="006854CA">
        <w:t>AdG</w:t>
      </w:r>
      <w:proofErr w:type="spellEnd"/>
      <w:r w:rsidR="00730774" w:rsidRPr="006854CA">
        <w:t xml:space="preserve"> </w:t>
      </w:r>
      <w:r w:rsidRPr="006854CA">
        <w:t>si accerti che sia stato osservato il d</w:t>
      </w:r>
      <w:r w:rsidR="00730774" w:rsidRPr="006854CA">
        <w:t xml:space="preserve">iritto applicabile pertinente. A tale proposito però si sottolinea che questa possibilità non è coerente con la necessità dell’effetto incentivante per gli aiuti di stato che rimangono quindi esclusi. </w:t>
      </w:r>
    </w:p>
    <w:p w:rsidR="00836367" w:rsidRDefault="00836367" w:rsidP="009F4404">
      <w:pPr>
        <w:jc w:val="both"/>
      </w:pPr>
      <w:r w:rsidRPr="006854CA">
        <w:t>Da ultimo, si rileva un’attenzione maggiore al rispetto del principio di stabilità delle operazioni:</w:t>
      </w:r>
      <w:r>
        <w:t xml:space="preserve"> l’</w:t>
      </w:r>
      <w:proofErr w:type="spellStart"/>
      <w:r>
        <w:t>AdG</w:t>
      </w:r>
      <w:proofErr w:type="spellEnd"/>
      <w:r>
        <w:t xml:space="preserve"> deve, infatti, garantire che le operazioni selezionate non includano attività che fanno parte di un’operazione che è stata o dovrebbe essere stata oggetto di una procedura di recupero a norma dell’art. 71, a seguito della ricollocazione di un’attività al di fuori dell’area interessata dal programma.</w:t>
      </w:r>
    </w:p>
    <w:p w:rsidR="00836367" w:rsidRPr="00555AA7" w:rsidRDefault="00836367" w:rsidP="009F4404">
      <w:pPr>
        <w:jc w:val="both"/>
      </w:pPr>
      <w:r>
        <w:t xml:space="preserve">Proseguendo nella lettura dell’articolo, con riferimento alla </w:t>
      </w:r>
      <w:r w:rsidRPr="00123408">
        <w:rPr>
          <w:b/>
          <w:u w:val="single"/>
        </w:rPr>
        <w:t>gestione finanziaria</w:t>
      </w:r>
      <w:r w:rsidRPr="00123408">
        <w:rPr>
          <w:u w:val="single"/>
        </w:rPr>
        <w:t xml:space="preserve"> </w:t>
      </w:r>
      <w:r w:rsidRPr="00123408">
        <w:rPr>
          <w:b/>
          <w:u w:val="single"/>
        </w:rPr>
        <w:t>e del controllo</w:t>
      </w:r>
      <w:r w:rsidRPr="00901758">
        <w:t xml:space="preserve"> (comma 4)</w:t>
      </w:r>
      <w:r>
        <w:rPr>
          <w:b/>
        </w:rPr>
        <w:t xml:space="preserve">, </w:t>
      </w:r>
      <w:r w:rsidRPr="00555AA7">
        <w:t>l’</w:t>
      </w:r>
      <w:proofErr w:type="spellStart"/>
      <w:r w:rsidRPr="00555AA7">
        <w:t>AdG</w:t>
      </w:r>
      <w:proofErr w:type="spellEnd"/>
      <w:r w:rsidRPr="00555AA7">
        <w:rPr>
          <w:b/>
        </w:rPr>
        <w:t xml:space="preserve"> </w:t>
      </w:r>
      <w:r w:rsidRPr="00555AA7">
        <w:t xml:space="preserve">dovrà verificare che i prodotti e i servizi cofinanziati siano stati forniti, che i beneficiari abbiano pagato le spese </w:t>
      </w:r>
      <w:r w:rsidRPr="00155618">
        <w:t>dichiarate, e che queste siano conformi al diritto applicabile, al</w:t>
      </w:r>
      <w:r w:rsidRPr="00555AA7">
        <w:t xml:space="preserve"> programma operativo e alle condizioni per il sostegno dell’operazione. Su questo aspetto si rileva che</w:t>
      </w:r>
      <w:r>
        <w:t xml:space="preserve"> nel periodo 2007-2013 era</w:t>
      </w:r>
      <w:r w:rsidRPr="00555AA7">
        <w:t xml:space="preserve"> previsto un rimando di carattere generale alla conformità delle spese alla normativa comunitaria e nazionale. </w:t>
      </w:r>
    </w:p>
    <w:p w:rsidR="00836367" w:rsidRDefault="00836367" w:rsidP="009F4404">
      <w:pPr>
        <w:jc w:val="both"/>
      </w:pPr>
      <w:r w:rsidRPr="00555AA7">
        <w:t xml:space="preserve">Sul versante dei controlli di primo livello, restano invariate le </w:t>
      </w:r>
      <w:r w:rsidRPr="00436EE2">
        <w:t>disposizioni relative alle verifiche delle operazioni che co</w:t>
      </w:r>
      <w:r w:rsidRPr="00555AA7">
        <w:t xml:space="preserve">mprendono sia le </w:t>
      </w:r>
      <w:r w:rsidRPr="00AD0CF4">
        <w:rPr>
          <w:b/>
        </w:rPr>
        <w:t>verifiche amministrative</w:t>
      </w:r>
      <w:r w:rsidRPr="00555AA7">
        <w:t xml:space="preserve"> rispetto a ciascuna domanda di rimborso presentata dal beneficiario, sia le </w:t>
      </w:r>
      <w:r w:rsidRPr="00AD0CF4">
        <w:rPr>
          <w:b/>
        </w:rPr>
        <w:t xml:space="preserve">verifiche in loco/sul posto </w:t>
      </w:r>
      <w:r w:rsidRPr="00436EE2">
        <w:t xml:space="preserve">che possono essere svolte a campione. </w:t>
      </w:r>
      <w:r>
        <w:t xml:space="preserve">Su queste si esplicita che la </w:t>
      </w:r>
      <w:r w:rsidRPr="00436EE2">
        <w:t xml:space="preserve">portata e </w:t>
      </w:r>
      <w:r>
        <w:t xml:space="preserve">la </w:t>
      </w:r>
      <w:r w:rsidRPr="00436EE2">
        <w:t xml:space="preserve">frequenza varieranno in ragione dell’ammontare del sostegno pubblico ad un’operazione e al livello di rischio individuato da tali verifiche e dagli audit </w:t>
      </w:r>
      <w:r w:rsidRPr="00436EE2">
        <w:lastRenderedPageBreak/>
        <w:t xml:space="preserve">effettuati </w:t>
      </w:r>
      <w:proofErr w:type="spellStart"/>
      <w:r w:rsidRPr="00436EE2">
        <w:t>dall’AdA</w:t>
      </w:r>
      <w:proofErr w:type="spellEnd"/>
      <w:r w:rsidRPr="00555AA7">
        <w:t xml:space="preserve">, </w:t>
      </w:r>
      <w:r>
        <w:t>confermando pertanto la</w:t>
      </w:r>
      <w:r w:rsidRPr="00555AA7">
        <w:t xml:space="preserve"> logica complessiva di integrazione e sinergia </w:t>
      </w:r>
      <w:r>
        <w:t>tra le diverse autorità dei</w:t>
      </w:r>
      <w:r w:rsidRPr="00555AA7">
        <w:t xml:space="preserve"> PO. A differenza del periodo 2007-2013</w:t>
      </w:r>
      <w:r>
        <w:t>, però,</w:t>
      </w:r>
      <w:r w:rsidRPr="00555AA7">
        <w:t xml:space="preserve"> non è più previsto il riesame annuale del metodo di campionamento e </w:t>
      </w:r>
      <w:r>
        <w:t>la necessità che</w:t>
      </w:r>
      <w:r w:rsidRPr="00555AA7">
        <w:t xml:space="preserve"> il grado di rischio </w:t>
      </w:r>
      <w:r>
        <w:t>tenga in considerazione il</w:t>
      </w:r>
      <w:r w:rsidRPr="00555AA7">
        <w:t xml:space="preserve"> tipo di beneficiari e di operazione. </w:t>
      </w:r>
      <w:r>
        <w:t>Tuttavia, non si può escludere che indicazioni puntuali sul campionamento vengano indicate nei prossimi atti delegati o di esecuzione della Commissione.</w:t>
      </w:r>
    </w:p>
    <w:p w:rsidR="00836367" w:rsidRPr="00555AA7" w:rsidRDefault="00836367" w:rsidP="009F4404">
      <w:pPr>
        <w:jc w:val="both"/>
      </w:pPr>
      <w:r>
        <w:t>E’ mantenuta, poi, la previsione regolamentare di garantire</w:t>
      </w:r>
      <w:r w:rsidRPr="00555AA7">
        <w:t>, nel caso in cu</w:t>
      </w:r>
      <w:r>
        <w:t>i l’</w:t>
      </w:r>
      <w:proofErr w:type="spellStart"/>
      <w:r>
        <w:t>AdG</w:t>
      </w:r>
      <w:proofErr w:type="spellEnd"/>
      <w:r>
        <w:t xml:space="preserve"> sia anche beneficiario, </w:t>
      </w:r>
      <w:r w:rsidRPr="00555AA7">
        <w:t xml:space="preserve">un’adeguata separazione delle funzioni tra quelle di gestione e quelle inerenti le verifiche amministrative sulle domande di rimborso. </w:t>
      </w:r>
    </w:p>
    <w:p w:rsidR="00836367" w:rsidRDefault="00836367" w:rsidP="0070414B">
      <w:pPr>
        <w:jc w:val="both"/>
      </w:pPr>
      <w:r>
        <w:t>Nella sezione gestione finanziaria e controllo,</w:t>
      </w:r>
      <w:r w:rsidRPr="00555AA7">
        <w:t xml:space="preserve"> </w:t>
      </w:r>
      <w:r>
        <w:t>si fa riferimento</w:t>
      </w:r>
      <w:r w:rsidRPr="00555AA7">
        <w:t xml:space="preserve"> inoltre </w:t>
      </w:r>
      <w:r>
        <w:t>al</w:t>
      </w:r>
      <w:r w:rsidRPr="00555AA7">
        <w:t>la necessità di un sistema di contabilità separata o una codificazione contabile adeguata per tutte le transazioni relative ad un’operazione presso i beneficiari, precisando, a differenza del periodo 2007-2013, nel caso di operazioni rimborsate sulla base dei costi ammissibili effettivamente sostenuti. Tale previsione lascerebbe pertanto presupporre che nel caso di rimborso attraverso le opzioni di semplificazione dei costi tale obbligo venga meno.</w:t>
      </w:r>
      <w:r>
        <w:t xml:space="preserve">  </w:t>
      </w:r>
    </w:p>
    <w:p w:rsidR="00836367" w:rsidRDefault="00836367" w:rsidP="00041ADF">
      <w:pPr>
        <w:jc w:val="both"/>
        <w:rPr>
          <w:szCs w:val="24"/>
        </w:rPr>
      </w:pPr>
      <w:r>
        <w:t xml:space="preserve">Una novità riguarda l’introduzione, tra le funzioni </w:t>
      </w:r>
      <w:proofErr w:type="spellStart"/>
      <w:r>
        <w:t>AdG</w:t>
      </w:r>
      <w:proofErr w:type="spellEnd"/>
      <w:r>
        <w:t xml:space="preserve">, </w:t>
      </w:r>
      <w:r w:rsidRPr="00AD0CF4">
        <w:rPr>
          <w:b/>
        </w:rPr>
        <w:t xml:space="preserve">dell’istituzione di misure antifrode efficaci e proporzionate, tenendo conto dei rischi individuati, </w:t>
      </w:r>
      <w:r>
        <w:t>che riflette l’attenzione p</w:t>
      </w:r>
      <w:r w:rsidR="00AC6E98">
        <w:t>osta dalla Commissione Europea ne</w:t>
      </w:r>
      <w:r>
        <w:t>lla lotta alla frode e all</w:t>
      </w:r>
      <w:r w:rsidR="00AC6E98">
        <w:t>a corruzione oltre che ne</w:t>
      </w:r>
      <w:r>
        <w:t>lla prevenzione delle irregolarità e frodi. Già a luglio 2013, com’è noto, l</w:t>
      </w:r>
      <w:r w:rsidRPr="008C707C">
        <w:rPr>
          <w:szCs w:val="24"/>
        </w:rPr>
        <w:t xml:space="preserve">a Commissione ha </w:t>
      </w:r>
      <w:r>
        <w:rPr>
          <w:szCs w:val="24"/>
        </w:rPr>
        <w:t xml:space="preserve">fornito </w:t>
      </w:r>
      <w:r>
        <w:t xml:space="preserve">in bozza </w:t>
      </w:r>
      <w:r w:rsidRPr="008C707C">
        <w:rPr>
          <w:szCs w:val="24"/>
        </w:rPr>
        <w:t xml:space="preserve">una nota di orientamento </w:t>
      </w:r>
      <w:r>
        <w:rPr>
          <w:color w:val="000000"/>
        </w:rPr>
        <w:t>rivolta alle autorità di gestione per adempiere alla nuova disposizione regolamentare</w:t>
      </w:r>
      <w:r>
        <w:rPr>
          <w:szCs w:val="24"/>
        </w:rPr>
        <w:t xml:space="preserve">. </w:t>
      </w:r>
    </w:p>
    <w:p w:rsidR="00836367" w:rsidRPr="008C707C" w:rsidRDefault="00836367" w:rsidP="00041ADF">
      <w:pPr>
        <w:jc w:val="both"/>
        <w:rPr>
          <w:szCs w:val="24"/>
        </w:rPr>
      </w:pPr>
      <w:r>
        <w:rPr>
          <w:szCs w:val="24"/>
        </w:rPr>
        <w:t xml:space="preserve">Per quanto concerne la </w:t>
      </w:r>
      <w:r w:rsidRPr="00AD0CF4">
        <w:rPr>
          <w:b/>
          <w:szCs w:val="24"/>
        </w:rPr>
        <w:t>pista di controllo</w:t>
      </w:r>
      <w:r>
        <w:rPr>
          <w:szCs w:val="24"/>
        </w:rPr>
        <w:t xml:space="preserve"> è prevista la pubblicazione di un Regolamento Delegato che stabilisca i requisiti minimi con riguardo ai documenti contabili e alla documentazione di supporto da conservare, in continuità con l’attuale programmazione.</w:t>
      </w:r>
    </w:p>
    <w:p w:rsidR="00836367" w:rsidRPr="006854CA" w:rsidRDefault="00836367" w:rsidP="00CE1903">
      <w:pPr>
        <w:jc w:val="both"/>
        <w:rPr>
          <w:i/>
        </w:rPr>
      </w:pPr>
      <w:r>
        <w:t>La novità più importante introdotta dal regolamento 2014-2020 è</w:t>
      </w:r>
      <w:r w:rsidRPr="00C94289">
        <w:t xml:space="preserve"> indubbiamente</w:t>
      </w:r>
      <w:r>
        <w:t xml:space="preserve"> la preparazione </w:t>
      </w:r>
      <w:r w:rsidRPr="002161B0">
        <w:t>della</w:t>
      </w:r>
      <w:r>
        <w:rPr>
          <w:b/>
        </w:rPr>
        <w:t xml:space="preserve"> d</w:t>
      </w:r>
      <w:r w:rsidRPr="00AD0CF4">
        <w:rPr>
          <w:b/>
        </w:rPr>
        <w:t xml:space="preserve">ichiarazione di affidabilità di gestione e la sintesi annuale </w:t>
      </w:r>
      <w:r>
        <w:rPr>
          <w:b/>
        </w:rPr>
        <w:t>d</w:t>
      </w:r>
      <w:r w:rsidRPr="00AD0CF4">
        <w:rPr>
          <w:b/>
        </w:rPr>
        <w:t xml:space="preserve">ei controlli </w:t>
      </w:r>
      <w:r w:rsidRPr="002161B0">
        <w:t>di cui all’articolo 59, paragrafo 5, lettere a) e b) del regolamento finanziario</w:t>
      </w:r>
      <w:r w:rsidR="00172979">
        <w:t xml:space="preserve"> </w:t>
      </w:r>
      <w:r w:rsidR="00172979" w:rsidRPr="006854CA">
        <w:t>UE n. 966/2012</w:t>
      </w:r>
      <w:r w:rsidRPr="006854CA">
        <w:t xml:space="preserve">, le cui procedure attuative saranno anche oggetto di valutazione in fase di designazione dell’Autorità di gestione. Tali documenti, come si vedrà meglio nella parte relativa alla presentazione dei conti, accompagneranno appunto i conti, il parere di audit e la relazione annuale di controllo che dovranno essere inviati annualmente, a partire dal 2016, alla Commissione europea. </w:t>
      </w:r>
    </w:p>
    <w:p w:rsidR="00836367" w:rsidRDefault="00836367" w:rsidP="00CE5E01">
      <w:pPr>
        <w:jc w:val="both"/>
      </w:pPr>
      <w:r w:rsidRPr="006854CA">
        <w:t xml:space="preserve">Relativamente alla Dichiarazione di affidabilità di gestione, rispetto alla quale la CE adotterà il modello con un apposito atto di esecuzione, si tratta di una dichiarazione </w:t>
      </w:r>
      <w:r w:rsidR="00863987" w:rsidRPr="006854CA">
        <w:t xml:space="preserve">in cui </w:t>
      </w:r>
      <w:r w:rsidR="00AE3564" w:rsidRPr="006854CA">
        <w:t>si att</w:t>
      </w:r>
      <w:r w:rsidR="00863987" w:rsidRPr="006854CA">
        <w:t>esti</w:t>
      </w:r>
      <w:r w:rsidRPr="006854CA">
        <w:t xml:space="preserve"> che le informazioni sono presentate correttamente, sono complete ed esatte, che le spese sono state effettuate per le finalità previste, e che i sistemi di controllo predisposti offrono le necessarie garanzie quanto alla legittimità e regolarità delle operazioni sottostanti. Per la sintesi annuale dei controlli, invece, il regolamento non offre informazioni particolari, su questo la Commissione Europea si è impegnata </w:t>
      </w:r>
      <w:r w:rsidR="00863987" w:rsidRPr="006854CA">
        <w:t xml:space="preserve">nel corso del negoziato </w:t>
      </w:r>
      <w:r w:rsidRPr="006854CA">
        <w:t>però a fornire delle linee guida orientative</w:t>
      </w:r>
      <w:r w:rsidR="005E5C83" w:rsidRPr="006854CA">
        <w:t xml:space="preserve"> (fiche 17 A)</w:t>
      </w:r>
      <w:r w:rsidRPr="006854CA">
        <w:t>.</w:t>
      </w:r>
      <w:r>
        <w:t xml:space="preserve"> </w:t>
      </w:r>
    </w:p>
    <w:p w:rsidR="00836367" w:rsidRDefault="00836367" w:rsidP="00CE5E01">
      <w:pPr>
        <w:jc w:val="both"/>
      </w:pPr>
      <w:r>
        <w:t xml:space="preserve">In ultimo, si segnala che </w:t>
      </w:r>
      <w:r w:rsidR="00863987">
        <w:t xml:space="preserve">sebbene </w:t>
      </w:r>
      <w:r>
        <w:t xml:space="preserve">all’art. 125 non </w:t>
      </w:r>
      <w:r w:rsidR="00863987">
        <w:t>sia</w:t>
      </w:r>
      <w:r>
        <w:t xml:space="preserve"> presente alcun esplicito rimando al rispetto degli obblighi in materia di informazione e pubblicità, il regolamento dedic</w:t>
      </w:r>
      <w:r w:rsidR="00863987">
        <w:t>a</w:t>
      </w:r>
      <w:r>
        <w:t xml:space="preserve"> un’apposita sezione agli obblighi di </w:t>
      </w:r>
      <w:r w:rsidRPr="00D908A3">
        <w:rPr>
          <w:u w:val="single"/>
        </w:rPr>
        <w:t>informazione e comunicazione</w:t>
      </w:r>
      <w:r>
        <w:t xml:space="preserve"> (Capo II artt.115 e 116), con u</w:t>
      </w:r>
      <w:r w:rsidRPr="00C47899">
        <w:t>na definizione più puntuale delle competenze dell’autorità di gestione</w:t>
      </w:r>
      <w:r w:rsidR="00BC74D6">
        <w:t xml:space="preserve">. </w:t>
      </w:r>
      <w:r>
        <w:t xml:space="preserve">(cfr. approfondimento informazione e </w:t>
      </w:r>
      <w:r w:rsidR="00FB1682">
        <w:t>comunicazione</w:t>
      </w:r>
      <w:r>
        <w:t xml:space="preserve">). </w:t>
      </w:r>
    </w:p>
    <w:p w:rsidR="009E57C5" w:rsidRDefault="009E57C5">
      <w:pPr>
        <w:spacing w:before="0" w:after="0"/>
      </w:pPr>
      <w:r>
        <w:br w:type="page"/>
      </w:r>
    </w:p>
    <w:p w:rsidR="00836367" w:rsidRPr="0043349D" w:rsidRDefault="00836367" w:rsidP="00571BCF">
      <w:pPr>
        <w:spacing w:before="0" w:after="160" w:line="259" w:lineRule="auto"/>
        <w:jc w:val="center"/>
        <w:rPr>
          <w:b/>
          <w:szCs w:val="24"/>
          <w:lang w:eastAsia="it-IT"/>
        </w:rPr>
      </w:pPr>
      <w:bookmarkStart w:id="0" w:name="_GoBack"/>
      <w:bookmarkEnd w:id="0"/>
      <w:r w:rsidRPr="0043349D">
        <w:rPr>
          <w:b/>
          <w:szCs w:val="24"/>
          <w:lang w:eastAsia="it-IT"/>
        </w:rPr>
        <w:lastRenderedPageBreak/>
        <w:t>Funzioni dell’Autorità di Certificazione</w:t>
      </w:r>
    </w:p>
    <w:p w:rsidR="00836367" w:rsidRDefault="00836367" w:rsidP="00571BCF">
      <w:pPr>
        <w:spacing w:before="0" w:after="160" w:line="259" w:lineRule="auto"/>
        <w:jc w:val="center"/>
        <w:rPr>
          <w:i/>
          <w:sz w:val="22"/>
        </w:rPr>
      </w:pPr>
      <w:r>
        <w:rPr>
          <w:i/>
          <w:sz w:val="22"/>
        </w:rPr>
        <w:t xml:space="preserve"> (Articolo 126</w:t>
      </w:r>
      <w:r w:rsidRPr="00E34662">
        <w:rPr>
          <w:i/>
          <w:sz w:val="22"/>
        </w:rPr>
        <w:t xml:space="preserve"> </w:t>
      </w:r>
      <w:r>
        <w:rPr>
          <w:i/>
          <w:sz w:val="22"/>
        </w:rPr>
        <w:t>Regolamento disposizioni comuni)</w:t>
      </w:r>
    </w:p>
    <w:p w:rsidR="00836367" w:rsidRDefault="00836367" w:rsidP="00571BCF">
      <w:pPr>
        <w:jc w:val="both"/>
      </w:pPr>
      <w:r>
        <w:t xml:space="preserve">Relativamente alle funzioni attribuite all’Autorità di Certificazione, l’elemento di novità maggiormente significativo riguarda la </w:t>
      </w:r>
      <w:r w:rsidRPr="00A709B7">
        <w:rPr>
          <w:b/>
        </w:rPr>
        <w:t>preparazione e certificazione dei bilanci</w:t>
      </w:r>
      <w:r>
        <w:t xml:space="preserve"> nell’ambito della nuova procedura introdotta dall’art. 59, par.5, a del regolamento finanziario UE n. 966/2012. </w:t>
      </w:r>
    </w:p>
    <w:p w:rsidR="00A05F55" w:rsidRDefault="00A05F55" w:rsidP="00571BCF">
      <w:pPr>
        <w:jc w:val="both"/>
      </w:pPr>
      <w:r>
        <w:t>In continuità con l’attuale periodo di programmazione, l’</w:t>
      </w:r>
      <w:proofErr w:type="spellStart"/>
      <w:r>
        <w:t>AdC</w:t>
      </w:r>
      <w:proofErr w:type="spellEnd"/>
      <w:r>
        <w:t xml:space="preserve"> continuerà ad elaborare e trasmettere le </w:t>
      </w:r>
      <w:r w:rsidRPr="00A05F55">
        <w:rPr>
          <w:b/>
        </w:rPr>
        <w:t>domande di pagamento</w:t>
      </w:r>
      <w:r>
        <w:t xml:space="preserve"> alla CE </w:t>
      </w:r>
      <w:r w:rsidRPr="00A05F55">
        <w:rPr>
          <w:b/>
        </w:rPr>
        <w:t>certificando</w:t>
      </w:r>
      <w:r>
        <w:t xml:space="preserve"> che le stesse provengono da </w:t>
      </w:r>
      <w:r w:rsidRPr="008C606C">
        <w:rPr>
          <w:b/>
        </w:rPr>
        <w:t>sistemi di contabilità affidabili</w:t>
      </w:r>
      <w:r>
        <w:t xml:space="preserve">.  </w:t>
      </w:r>
    </w:p>
    <w:p w:rsidR="009231F8" w:rsidRDefault="00836367" w:rsidP="009231F8">
      <w:pPr>
        <w:jc w:val="both"/>
      </w:pPr>
      <w:r>
        <w:t>A parte alcune modifiche terminologiche, dalla norma si evince come l’</w:t>
      </w:r>
      <w:proofErr w:type="spellStart"/>
      <w:r>
        <w:t>AdC</w:t>
      </w:r>
      <w:proofErr w:type="spellEnd"/>
      <w:r>
        <w:t xml:space="preserve"> assuma ancora di più che nel passato la funzione di </w:t>
      </w:r>
      <w:r w:rsidRPr="00A709B7">
        <w:rPr>
          <w:b/>
        </w:rPr>
        <w:t>garante del sistema informatizzato</w:t>
      </w:r>
      <w:r>
        <w:rPr>
          <w:b/>
        </w:rPr>
        <w:t>,</w:t>
      </w:r>
      <w:r>
        <w:t xml:space="preserve"> dove registrare i </w:t>
      </w:r>
      <w:r w:rsidRPr="00A709B7">
        <w:rPr>
          <w:b/>
        </w:rPr>
        <w:t>dati contabili</w:t>
      </w:r>
      <w:r>
        <w:t xml:space="preserve"> per ciascuna </w:t>
      </w:r>
      <w:r w:rsidRPr="00B50E6E">
        <w:rPr>
          <w:b/>
        </w:rPr>
        <w:t>operazione</w:t>
      </w:r>
      <w:r>
        <w:rPr>
          <w:b/>
        </w:rPr>
        <w:t xml:space="preserve">, </w:t>
      </w:r>
      <w:r>
        <w:t>che sarà lo strumento di ausilio per la predisposizione delle domande di pagamento e per la preparazione e certificazione dei bilanci. Tale previsione regolamentare conferma l’importanza del sistema informativo adottato dall’amministrazione e di supporto rispetto ai compiti dell’</w:t>
      </w:r>
      <w:proofErr w:type="spellStart"/>
      <w:r>
        <w:t>AdC</w:t>
      </w:r>
      <w:proofErr w:type="spellEnd"/>
      <w:r>
        <w:t xml:space="preserve">, anche in ragione </w:t>
      </w:r>
      <w:r w:rsidRPr="006E1C98">
        <w:t xml:space="preserve">del lavoro di </w:t>
      </w:r>
      <w:r w:rsidRPr="006E1C98">
        <w:rPr>
          <w:i/>
        </w:rPr>
        <w:t xml:space="preserve">riconciliazione, </w:t>
      </w:r>
      <w:r w:rsidRPr="006E1C98">
        <w:t xml:space="preserve">propedeutico alla preparazione e certificazione dei bilanci/conti. </w:t>
      </w:r>
    </w:p>
    <w:p w:rsidR="009231F8" w:rsidRPr="009231F8" w:rsidRDefault="009231F8" w:rsidP="009231F8">
      <w:pPr>
        <w:jc w:val="both"/>
        <w:rPr>
          <w:strike/>
        </w:rPr>
      </w:pPr>
      <w:r>
        <w:t xml:space="preserve">Inoltre si rileva che dal punto di vista terminologico, i concetti di </w:t>
      </w:r>
      <w:r w:rsidRPr="00A709B7">
        <w:rPr>
          <w:b/>
        </w:rPr>
        <w:t>completezza, esattezza e veridicità</w:t>
      </w:r>
      <w:r>
        <w:t xml:space="preserve"> che si riferivano alla dichiarazione certificata delle spese nel periodo 2007-2013 sono stati riproposti relativamente ai </w:t>
      </w:r>
      <w:r w:rsidRPr="00BA7ED4">
        <w:rPr>
          <w:b/>
        </w:rPr>
        <w:t>bilanci/conti</w:t>
      </w:r>
      <w:r>
        <w:t>. Alla lettera c dell’art. 126 si precisa, infatti, che l’</w:t>
      </w:r>
      <w:proofErr w:type="spellStart"/>
      <w:r>
        <w:t>AdC</w:t>
      </w:r>
      <w:proofErr w:type="spellEnd"/>
      <w:r>
        <w:t xml:space="preserve"> dovrà certificare la completezza, esattezza e veridicità dei bilanci. </w:t>
      </w:r>
    </w:p>
    <w:p w:rsidR="00836367" w:rsidRDefault="00836367" w:rsidP="00571BCF">
      <w:pPr>
        <w:jc w:val="both"/>
      </w:pPr>
      <w:r w:rsidRPr="006E1C98">
        <w:t xml:space="preserve">Per quanto concerne la contabilità degli importi ritirati e recuperabili, in tale articolo, non si evidenziano </w:t>
      </w:r>
      <w:r>
        <w:t xml:space="preserve">poi </w:t>
      </w:r>
      <w:r w:rsidRPr="006E1C98">
        <w:t xml:space="preserve">particolari novità rispetto all’attuale periodo </w:t>
      </w:r>
      <w:r>
        <w:t>poiché sono</w:t>
      </w:r>
      <w:r w:rsidRPr="006E1C98">
        <w:t xml:space="preserve"> richieste le medesime informazioni, </w:t>
      </w:r>
      <w:r>
        <w:t>come si evince del resto</w:t>
      </w:r>
      <w:r w:rsidRPr="006E1C98">
        <w:t xml:space="preserve"> dalla lettura dell’art. 137 </w:t>
      </w:r>
      <w:r>
        <w:t>“Preparazione dei conti”.</w:t>
      </w:r>
    </w:p>
    <w:p w:rsidR="00C87CE5" w:rsidRPr="006854CA" w:rsidRDefault="00A05F55" w:rsidP="00571BCF">
      <w:pPr>
        <w:jc w:val="both"/>
      </w:pPr>
      <w:r w:rsidRPr="006854CA">
        <w:t>A differenza del</w:t>
      </w:r>
      <w:r w:rsidR="00836367" w:rsidRPr="006854CA">
        <w:t xml:space="preserve"> periodo 2007-2013, il regolamento precisa, inoltre, che nella contabilità andranno riportate </w:t>
      </w:r>
      <w:r w:rsidRPr="006854CA">
        <w:t xml:space="preserve">non solo </w:t>
      </w:r>
      <w:r w:rsidR="00836367" w:rsidRPr="006854CA">
        <w:t xml:space="preserve">le spese dichiarate alla Commissione </w:t>
      </w:r>
      <w:r w:rsidRPr="006854CA">
        <w:t>ma anche</w:t>
      </w:r>
      <w:r w:rsidR="00836367" w:rsidRPr="006854CA">
        <w:t xml:space="preserve"> il corrispondente contributo p</w:t>
      </w:r>
      <w:r w:rsidR="005C6C79" w:rsidRPr="006854CA">
        <w:t xml:space="preserve">ubblico versato ai beneficiari. </w:t>
      </w:r>
    </w:p>
    <w:p w:rsidR="009F5AEA" w:rsidRPr="006854CA" w:rsidRDefault="00836367" w:rsidP="00571BCF">
      <w:pPr>
        <w:jc w:val="both"/>
      </w:pPr>
      <w:r w:rsidRPr="006854CA">
        <w:t xml:space="preserve">Rimane inoltre confermata la previsione che le domande di pagamento sono basate su </w:t>
      </w:r>
      <w:r w:rsidRPr="006854CA">
        <w:rPr>
          <w:b/>
        </w:rPr>
        <w:t>documenti giustificativi verificabili</w:t>
      </w:r>
      <w:r w:rsidRPr="006854CA">
        <w:t xml:space="preserve"> e sono state oggetto di verifiche da parte </w:t>
      </w:r>
      <w:r w:rsidR="009F5AEA" w:rsidRPr="006854CA">
        <w:t xml:space="preserve">dell’autorità di gestione. </w:t>
      </w:r>
    </w:p>
    <w:p w:rsidR="009F5AEA" w:rsidRDefault="009F5AEA" w:rsidP="00571BCF">
      <w:pPr>
        <w:jc w:val="both"/>
      </w:pPr>
      <w:r w:rsidRPr="006854CA">
        <w:t>Dal combinato disposto delle norme è possibile presupporre che le verifiche dell’</w:t>
      </w:r>
      <w:proofErr w:type="spellStart"/>
      <w:r w:rsidRPr="006854CA">
        <w:t>AdC</w:t>
      </w:r>
      <w:proofErr w:type="spellEnd"/>
      <w:r w:rsidRPr="006854CA">
        <w:t xml:space="preserve"> nella fase propedeutica alla trasmissione delle domande di pagamento durante il periodo contabile siano limitate.</w:t>
      </w:r>
      <w:r>
        <w:t xml:space="preserve"> </w:t>
      </w:r>
    </w:p>
    <w:p w:rsidR="00836367" w:rsidRDefault="00836367" w:rsidP="00571BCF">
      <w:pPr>
        <w:jc w:val="both"/>
      </w:pPr>
      <w:r>
        <w:t>Con riferimento alle informazioni che l’</w:t>
      </w:r>
      <w:proofErr w:type="spellStart"/>
      <w:r>
        <w:t>AdC</w:t>
      </w:r>
      <w:proofErr w:type="spellEnd"/>
      <w:r>
        <w:t xml:space="preserve"> acquisisce dall’</w:t>
      </w:r>
      <w:proofErr w:type="spellStart"/>
      <w:r>
        <w:t>AdG</w:t>
      </w:r>
      <w:proofErr w:type="spellEnd"/>
      <w:r>
        <w:t xml:space="preserve"> </w:t>
      </w:r>
      <w:r w:rsidR="006F732E">
        <w:t xml:space="preserve">e </w:t>
      </w:r>
      <w:proofErr w:type="spellStart"/>
      <w:r w:rsidR="006F732E">
        <w:t>dall’AdA</w:t>
      </w:r>
      <w:proofErr w:type="spellEnd"/>
      <w:r w:rsidR="006F732E">
        <w:t xml:space="preserve"> </w:t>
      </w:r>
      <w:r>
        <w:t xml:space="preserve">nell’ambito dello svolgimento delle proprie funzioni, si evidenzia una sostanziale continuità con quelle richieste nel periodo 2007-2013. </w:t>
      </w:r>
    </w:p>
    <w:p w:rsidR="00836367" w:rsidRPr="00B023A7" w:rsidRDefault="00836367" w:rsidP="00571BCF">
      <w:pPr>
        <w:jc w:val="both"/>
      </w:pPr>
      <w:r>
        <w:t>Anche nel periodo 2014-2020, risulterà pertanto fondamentale il lavoro sinergico tra le diverse autorità soprattutto in considerazione degli adempimenti connessi alla presentazione annuale dei conti, nella logica di ottimizzare e rendere efficienti le diverse attività di competenza di ciascuna autorità.</w:t>
      </w:r>
    </w:p>
    <w:p w:rsidR="00836367" w:rsidRDefault="00836367" w:rsidP="00CE5E01">
      <w:pPr>
        <w:jc w:val="both"/>
      </w:pPr>
    </w:p>
    <w:p w:rsidR="00487FD1" w:rsidRDefault="00487FD1" w:rsidP="00571BCF">
      <w:pPr>
        <w:spacing w:before="0" w:after="160" w:line="259" w:lineRule="auto"/>
        <w:jc w:val="center"/>
        <w:rPr>
          <w:b/>
          <w:szCs w:val="24"/>
          <w:lang w:eastAsia="it-IT"/>
        </w:rPr>
      </w:pPr>
    </w:p>
    <w:p w:rsidR="009E57C5" w:rsidRDefault="009E57C5">
      <w:pPr>
        <w:spacing w:before="0" w:after="0"/>
        <w:rPr>
          <w:b/>
          <w:szCs w:val="24"/>
          <w:lang w:eastAsia="it-IT"/>
        </w:rPr>
      </w:pPr>
      <w:r>
        <w:rPr>
          <w:b/>
          <w:szCs w:val="24"/>
          <w:lang w:eastAsia="it-IT"/>
        </w:rPr>
        <w:br w:type="page"/>
      </w:r>
    </w:p>
    <w:p w:rsidR="00836367" w:rsidRPr="0043349D" w:rsidRDefault="00836367" w:rsidP="00571BCF">
      <w:pPr>
        <w:spacing w:before="0" w:after="160" w:line="259" w:lineRule="auto"/>
        <w:jc w:val="center"/>
        <w:rPr>
          <w:b/>
          <w:szCs w:val="24"/>
          <w:lang w:eastAsia="it-IT"/>
        </w:rPr>
      </w:pPr>
      <w:r w:rsidRPr="0043349D">
        <w:rPr>
          <w:b/>
          <w:szCs w:val="24"/>
          <w:lang w:eastAsia="it-IT"/>
        </w:rPr>
        <w:lastRenderedPageBreak/>
        <w:t>Funzioni dell’Autorità di Audit</w:t>
      </w:r>
    </w:p>
    <w:p w:rsidR="00836367" w:rsidRDefault="00836367" w:rsidP="00571BCF">
      <w:pPr>
        <w:spacing w:before="0" w:after="160" w:line="259" w:lineRule="auto"/>
        <w:jc w:val="center"/>
        <w:rPr>
          <w:i/>
          <w:sz w:val="22"/>
        </w:rPr>
      </w:pPr>
      <w:r>
        <w:rPr>
          <w:i/>
          <w:sz w:val="22"/>
        </w:rPr>
        <w:t xml:space="preserve"> (Articolo 127</w:t>
      </w:r>
      <w:r w:rsidRPr="00E34662">
        <w:rPr>
          <w:i/>
          <w:sz w:val="22"/>
        </w:rPr>
        <w:t xml:space="preserve"> </w:t>
      </w:r>
      <w:r>
        <w:rPr>
          <w:i/>
          <w:sz w:val="22"/>
        </w:rPr>
        <w:t>Regolamento disposizioni comuni)</w:t>
      </w:r>
    </w:p>
    <w:p w:rsidR="00836367" w:rsidRPr="00045E25" w:rsidRDefault="00836367" w:rsidP="00571BCF">
      <w:pPr>
        <w:jc w:val="both"/>
      </w:pPr>
      <w:r>
        <w:t>Relativamente alle fu</w:t>
      </w:r>
      <w:r w:rsidR="00EA6B86">
        <w:t>nzioni delle Autorità di Audit,</w:t>
      </w:r>
      <w:r>
        <w:t xml:space="preserve"> si evidenziano alcune differenze. In linea generale alcune delle modifiche introdotte derivano, in analogia con quanto avviene anche per le altre autorità, da quanto contenuto nell’art. 59 del regolamento finanziario e sono legate alle novità relative ai flussi finanziari ed alla suddivisione del periodo di programmazione in “periodi contabili”. Tali novità potrebbero determinare una modifica della tempistica di esecuzione degli audit rispetto all’attuale periodo. </w:t>
      </w:r>
    </w:p>
    <w:p w:rsidR="00836367" w:rsidRDefault="00836367" w:rsidP="00571BCF">
      <w:pPr>
        <w:jc w:val="both"/>
      </w:pPr>
      <w:r>
        <w:t>In continuità con la corrente programmazione, all’Autorità di Audit</w:t>
      </w:r>
      <w:r w:rsidRPr="00045E25">
        <w:t xml:space="preserve"> </w:t>
      </w:r>
      <w:r>
        <w:t xml:space="preserve">è conferita, anche per il 2014 -2020, la funzione di garantire lo svolgimento di audit di sistema e audit delle operazioni. </w:t>
      </w:r>
    </w:p>
    <w:p w:rsidR="00836367" w:rsidRPr="000E444F" w:rsidRDefault="00836367" w:rsidP="009C551D">
      <w:pPr>
        <w:jc w:val="both"/>
        <w:rPr>
          <w:strike/>
          <w:szCs w:val="24"/>
          <w:lang w:eastAsia="it-IT"/>
        </w:rPr>
      </w:pPr>
      <w:r>
        <w:t xml:space="preserve">A tal proposito, il regolamento generale </w:t>
      </w:r>
      <w:r w:rsidR="00B65947">
        <w:t>per il periodo 2014-2020 introduce</w:t>
      </w:r>
      <w:r>
        <w:t xml:space="preserve"> anche la parte relativa alla metodologia del </w:t>
      </w:r>
      <w:r w:rsidRPr="009A182C">
        <w:t>campion</w:t>
      </w:r>
      <w:r>
        <w:t xml:space="preserve">amento, stabilendo </w:t>
      </w:r>
      <w:r w:rsidRPr="009A182C">
        <w:t>che</w:t>
      </w:r>
      <w:r>
        <w:t xml:space="preserve"> i controlli delle operazioni si basino</w:t>
      </w:r>
      <w:r w:rsidRPr="009A182C">
        <w:t xml:space="preserve"> come </w:t>
      </w:r>
      <w:r w:rsidRPr="009A182C">
        <w:rPr>
          <w:b/>
        </w:rPr>
        <w:t>regola</w:t>
      </w:r>
      <w:r w:rsidRPr="00045E25">
        <w:rPr>
          <w:b/>
        </w:rPr>
        <w:t xml:space="preserve"> </w:t>
      </w:r>
      <w:r w:rsidRPr="008E2C70">
        <w:rPr>
          <w:b/>
        </w:rPr>
        <w:t>generale</w:t>
      </w:r>
      <w:r>
        <w:t xml:space="preserve"> su un </w:t>
      </w:r>
      <w:r w:rsidRPr="00236B22">
        <w:rPr>
          <w:b/>
        </w:rPr>
        <w:t xml:space="preserve">metodo </w:t>
      </w:r>
      <w:r w:rsidRPr="00236B22">
        <w:rPr>
          <w:b/>
          <w:szCs w:val="24"/>
          <w:lang w:eastAsia="it-IT"/>
        </w:rPr>
        <w:t>di campionamento statistico</w:t>
      </w:r>
      <w:r>
        <w:rPr>
          <w:b/>
          <w:szCs w:val="24"/>
          <w:lang w:eastAsia="it-IT"/>
        </w:rPr>
        <w:t xml:space="preserve">, </w:t>
      </w:r>
      <w:r w:rsidRPr="003E4C12">
        <w:rPr>
          <w:szCs w:val="24"/>
          <w:lang w:eastAsia="it-IT"/>
        </w:rPr>
        <w:t>ovvero su un campione rappresentativo</w:t>
      </w:r>
      <w:r>
        <w:rPr>
          <w:szCs w:val="24"/>
          <w:lang w:eastAsia="it-IT"/>
        </w:rPr>
        <w:t xml:space="preserve"> attendibile, e i cui risultati consentono l’estrapolazione. </w:t>
      </w:r>
      <w:r w:rsidRPr="009A182C">
        <w:rPr>
          <w:szCs w:val="24"/>
          <w:lang w:eastAsia="it-IT"/>
        </w:rPr>
        <w:t>E’ prevista</w:t>
      </w:r>
      <w:r>
        <w:rPr>
          <w:szCs w:val="24"/>
          <w:lang w:eastAsia="it-IT"/>
        </w:rPr>
        <w:t xml:space="preserve"> comunque</w:t>
      </w:r>
      <w:r w:rsidRPr="00045E25">
        <w:rPr>
          <w:szCs w:val="24"/>
          <w:lang w:eastAsia="it-IT"/>
        </w:rPr>
        <w:t xml:space="preserve"> </w:t>
      </w:r>
      <w:r>
        <w:rPr>
          <w:szCs w:val="24"/>
          <w:lang w:eastAsia="it-IT"/>
        </w:rPr>
        <w:t xml:space="preserve">anche la possibilità </w:t>
      </w:r>
      <w:r w:rsidRPr="007453B4">
        <w:rPr>
          <w:szCs w:val="24"/>
          <w:lang w:eastAsia="it-IT"/>
        </w:rPr>
        <w:t xml:space="preserve">di adottare </w:t>
      </w:r>
      <w:r w:rsidRPr="008E2C70">
        <w:rPr>
          <w:b/>
          <w:szCs w:val="24"/>
          <w:lang w:eastAsia="it-IT"/>
        </w:rPr>
        <w:t>un metodo di campionamento non statistico</w:t>
      </w:r>
      <w:r w:rsidRPr="007453B4">
        <w:rPr>
          <w:szCs w:val="24"/>
          <w:lang w:eastAsia="it-IT"/>
        </w:rPr>
        <w:t xml:space="preserve"> </w:t>
      </w:r>
      <w:r>
        <w:rPr>
          <w:szCs w:val="24"/>
          <w:lang w:eastAsia="it-IT"/>
        </w:rPr>
        <w:t xml:space="preserve">– </w:t>
      </w:r>
      <w:r w:rsidRPr="007453B4">
        <w:rPr>
          <w:szCs w:val="24"/>
          <w:lang w:eastAsia="it-IT"/>
        </w:rPr>
        <w:t xml:space="preserve">previo giudizio professionale </w:t>
      </w:r>
      <w:proofErr w:type="spellStart"/>
      <w:r w:rsidRPr="007453B4">
        <w:rPr>
          <w:szCs w:val="24"/>
          <w:lang w:eastAsia="it-IT"/>
        </w:rPr>
        <w:t>dell’AdA</w:t>
      </w:r>
      <w:proofErr w:type="spellEnd"/>
      <w:r w:rsidRPr="007453B4">
        <w:rPr>
          <w:szCs w:val="24"/>
          <w:lang w:eastAsia="it-IT"/>
        </w:rPr>
        <w:t xml:space="preserve"> </w:t>
      </w:r>
      <w:r>
        <w:rPr>
          <w:szCs w:val="24"/>
          <w:lang w:eastAsia="it-IT"/>
        </w:rPr>
        <w:t xml:space="preserve">– </w:t>
      </w:r>
      <w:r w:rsidRPr="007453B4">
        <w:rPr>
          <w:szCs w:val="24"/>
          <w:lang w:eastAsia="it-IT"/>
        </w:rPr>
        <w:t xml:space="preserve">in casi </w:t>
      </w:r>
      <w:r>
        <w:rPr>
          <w:szCs w:val="24"/>
          <w:lang w:eastAsia="it-IT"/>
        </w:rPr>
        <w:t>adeguatamente</w:t>
      </w:r>
      <w:r w:rsidRPr="007453B4">
        <w:rPr>
          <w:szCs w:val="24"/>
          <w:lang w:eastAsia="it-IT"/>
        </w:rPr>
        <w:t xml:space="preserve"> giustificati</w:t>
      </w:r>
      <w:r w:rsidR="000E444F">
        <w:rPr>
          <w:szCs w:val="24"/>
          <w:lang w:eastAsia="it-IT"/>
        </w:rPr>
        <w:t>.</w:t>
      </w:r>
      <w:r w:rsidRPr="007453B4">
        <w:rPr>
          <w:szCs w:val="24"/>
          <w:lang w:eastAsia="it-IT"/>
        </w:rPr>
        <w:t xml:space="preserve"> </w:t>
      </w:r>
    </w:p>
    <w:p w:rsidR="00836367" w:rsidRDefault="00836367" w:rsidP="00571BCF">
      <w:pPr>
        <w:jc w:val="both"/>
        <w:rPr>
          <w:szCs w:val="24"/>
          <w:lang w:eastAsia="it-IT"/>
        </w:rPr>
      </w:pPr>
      <w:r>
        <w:rPr>
          <w:szCs w:val="24"/>
          <w:lang w:eastAsia="it-IT"/>
        </w:rPr>
        <w:t xml:space="preserve">In continuità con il passato, nel caso in cui le attività di audit siano svolte da un </w:t>
      </w:r>
      <w:r w:rsidRPr="008E2C70">
        <w:rPr>
          <w:b/>
          <w:szCs w:val="24"/>
          <w:lang w:eastAsia="it-IT"/>
        </w:rPr>
        <w:t>organismo diverso</w:t>
      </w:r>
      <w:r>
        <w:rPr>
          <w:szCs w:val="24"/>
          <w:lang w:eastAsia="it-IT"/>
        </w:rPr>
        <w:t xml:space="preserve"> dall’Autorità di Audit, quest’ultima dovrà accertarsi della necessaria indipendenza funzionale dell’organismo stesso. </w:t>
      </w:r>
    </w:p>
    <w:p w:rsidR="00836367" w:rsidRDefault="00836367" w:rsidP="00571BCF">
      <w:pPr>
        <w:jc w:val="both"/>
        <w:rPr>
          <w:szCs w:val="24"/>
          <w:lang w:eastAsia="it-IT"/>
        </w:rPr>
      </w:pPr>
      <w:r>
        <w:rPr>
          <w:szCs w:val="24"/>
          <w:lang w:eastAsia="it-IT"/>
        </w:rPr>
        <w:t>Inoltre, sempre conformemente a quanto già previsto per la corrente programmazione</w:t>
      </w:r>
      <w:r w:rsidRPr="00045E25">
        <w:rPr>
          <w:szCs w:val="24"/>
          <w:lang w:eastAsia="it-IT"/>
        </w:rPr>
        <w:t>,</w:t>
      </w:r>
      <w:r>
        <w:rPr>
          <w:szCs w:val="24"/>
          <w:lang w:eastAsia="it-IT"/>
        </w:rPr>
        <w:t xml:space="preserve"> l’Autorità di Audit dovrà assicurarsi che il lavoro di audit tenga conto degli standard riconosciuti a livello internazionale in materia.</w:t>
      </w:r>
    </w:p>
    <w:p w:rsidR="00836367" w:rsidRDefault="00836367" w:rsidP="00571BCF">
      <w:pPr>
        <w:jc w:val="both"/>
        <w:rPr>
          <w:szCs w:val="24"/>
          <w:lang w:eastAsia="it-IT"/>
        </w:rPr>
      </w:pPr>
      <w:r>
        <w:rPr>
          <w:szCs w:val="24"/>
          <w:lang w:eastAsia="it-IT"/>
        </w:rPr>
        <w:t xml:space="preserve">In merito alla </w:t>
      </w:r>
      <w:r w:rsidRPr="00236B22">
        <w:rPr>
          <w:b/>
          <w:szCs w:val="24"/>
          <w:lang w:eastAsia="it-IT"/>
        </w:rPr>
        <w:t>Strategie di audit</w:t>
      </w:r>
      <w:r w:rsidRPr="009A182C">
        <w:rPr>
          <w:szCs w:val="24"/>
          <w:lang w:eastAsia="it-IT"/>
        </w:rPr>
        <w:t>, il nuovo Regolamento introduce particolari modifiche che attengono ai tempi di preparazione e</w:t>
      </w:r>
      <w:r>
        <w:rPr>
          <w:szCs w:val="24"/>
          <w:lang w:eastAsia="it-IT"/>
        </w:rPr>
        <w:t xml:space="preserve"> all’</w:t>
      </w:r>
      <w:r w:rsidRPr="009A182C">
        <w:rPr>
          <w:szCs w:val="24"/>
          <w:lang w:eastAsia="it-IT"/>
        </w:rPr>
        <w:t>aggiornamento delle strategie stesse. In particolare, in</w:t>
      </w:r>
      <w:r w:rsidRPr="00045E25">
        <w:t xml:space="preserve"> </w:t>
      </w:r>
      <w:r w:rsidRPr="00BF4B33">
        <w:t>base alle nuove disposizioni regolamentari</w:t>
      </w:r>
      <w:r>
        <w:t>,</w:t>
      </w:r>
      <w:r w:rsidRPr="00BF4B33">
        <w:t xml:space="preserve"> </w:t>
      </w:r>
      <w:r>
        <w:rPr>
          <w:szCs w:val="24"/>
          <w:lang w:eastAsia="it-IT"/>
        </w:rPr>
        <w:t xml:space="preserve">l’Autorità di Audit prepara una </w:t>
      </w:r>
      <w:r w:rsidRPr="00236B22">
        <w:rPr>
          <w:szCs w:val="24"/>
          <w:lang w:eastAsia="it-IT"/>
        </w:rPr>
        <w:t>Strategia di audit</w:t>
      </w:r>
      <w:r>
        <w:rPr>
          <w:szCs w:val="24"/>
          <w:lang w:eastAsia="it-IT"/>
        </w:rPr>
        <w:t xml:space="preserve"> </w:t>
      </w:r>
      <w:r w:rsidRPr="002F2005">
        <w:rPr>
          <w:b/>
          <w:szCs w:val="24"/>
          <w:lang w:eastAsia="it-IT"/>
        </w:rPr>
        <w:t>ent</w:t>
      </w:r>
      <w:r>
        <w:rPr>
          <w:b/>
          <w:szCs w:val="24"/>
          <w:lang w:eastAsia="it-IT"/>
        </w:rPr>
        <w:t>ro otto mesi dall’adozione del Programma O</w:t>
      </w:r>
      <w:r w:rsidRPr="002F2005">
        <w:rPr>
          <w:b/>
          <w:szCs w:val="24"/>
          <w:lang w:eastAsia="it-IT"/>
        </w:rPr>
        <w:t>perativo</w:t>
      </w:r>
      <w:r>
        <w:rPr>
          <w:b/>
          <w:szCs w:val="24"/>
          <w:lang w:eastAsia="it-IT"/>
        </w:rPr>
        <w:t xml:space="preserve"> </w:t>
      </w:r>
      <w:r>
        <w:rPr>
          <w:szCs w:val="24"/>
          <w:lang w:eastAsia="it-IT"/>
        </w:rPr>
        <w:t xml:space="preserve">(e non più entro nove mesi come previsto nel vecchio Regolamento, </w:t>
      </w:r>
      <w:proofErr w:type="spellStart"/>
      <w:r>
        <w:rPr>
          <w:szCs w:val="24"/>
          <w:lang w:eastAsia="it-IT"/>
        </w:rPr>
        <w:t>rif.</w:t>
      </w:r>
      <w:proofErr w:type="spellEnd"/>
      <w:r>
        <w:rPr>
          <w:szCs w:val="24"/>
          <w:lang w:eastAsia="it-IT"/>
        </w:rPr>
        <w:t xml:space="preserve"> art. 62 par. 3 </w:t>
      </w:r>
      <w:proofErr w:type="spellStart"/>
      <w:r>
        <w:rPr>
          <w:szCs w:val="24"/>
          <w:lang w:eastAsia="it-IT"/>
        </w:rPr>
        <w:t>lett</w:t>
      </w:r>
      <w:proofErr w:type="spellEnd"/>
      <w:r>
        <w:rPr>
          <w:szCs w:val="24"/>
          <w:lang w:eastAsia="it-IT"/>
        </w:rPr>
        <w:t xml:space="preserve">. c) </w:t>
      </w:r>
      <w:r w:rsidRPr="009A182C">
        <w:rPr>
          <w:szCs w:val="24"/>
          <w:lang w:eastAsia="it-IT"/>
        </w:rPr>
        <w:t xml:space="preserve">con obbligo di </w:t>
      </w:r>
      <w:r w:rsidRPr="009A182C">
        <w:rPr>
          <w:b/>
          <w:szCs w:val="24"/>
          <w:lang w:eastAsia="it-IT"/>
        </w:rPr>
        <w:t>aggiornamento annuale</w:t>
      </w:r>
      <w:r w:rsidRPr="009A182C">
        <w:rPr>
          <w:szCs w:val="24"/>
          <w:lang w:eastAsia="it-IT"/>
        </w:rPr>
        <w:t xml:space="preserve"> </w:t>
      </w:r>
      <w:r>
        <w:rPr>
          <w:szCs w:val="24"/>
          <w:lang w:eastAsia="it-IT"/>
        </w:rPr>
        <w:t xml:space="preserve">a partire dal 2016 e fino al 2024 compreso. </w:t>
      </w:r>
    </w:p>
    <w:p w:rsidR="00836367" w:rsidRPr="0055029D" w:rsidRDefault="00836367" w:rsidP="000E444F">
      <w:pPr>
        <w:jc w:val="both"/>
        <w:rPr>
          <w:szCs w:val="24"/>
          <w:lang w:eastAsia="it-IT"/>
        </w:rPr>
      </w:pPr>
      <w:r>
        <w:rPr>
          <w:szCs w:val="24"/>
          <w:lang w:eastAsia="it-IT"/>
        </w:rPr>
        <w:t>Nel dettaglio, la strategia di audit, in quanto strumento per lo svolgimento delle at</w:t>
      </w:r>
      <w:r w:rsidR="000E444F">
        <w:rPr>
          <w:szCs w:val="24"/>
          <w:lang w:eastAsia="it-IT"/>
        </w:rPr>
        <w:t>tività di audit, dovrà definire l</w:t>
      </w:r>
      <w:r>
        <w:rPr>
          <w:szCs w:val="24"/>
          <w:lang w:eastAsia="it-IT"/>
        </w:rPr>
        <w:t>a metodologia di audit</w:t>
      </w:r>
      <w:r w:rsidR="000E444F">
        <w:rPr>
          <w:szCs w:val="24"/>
          <w:lang w:eastAsia="it-IT"/>
        </w:rPr>
        <w:t>, i</w:t>
      </w:r>
      <w:r>
        <w:rPr>
          <w:szCs w:val="24"/>
          <w:lang w:eastAsia="it-IT"/>
        </w:rPr>
        <w:t>l metodo di campionamento per l’audit delle operazioni</w:t>
      </w:r>
      <w:r w:rsidR="000E444F">
        <w:rPr>
          <w:szCs w:val="24"/>
          <w:lang w:eastAsia="it-IT"/>
        </w:rPr>
        <w:t xml:space="preserve"> e l</w:t>
      </w:r>
      <w:r>
        <w:rPr>
          <w:szCs w:val="24"/>
          <w:lang w:eastAsia="it-IT"/>
        </w:rPr>
        <w:t>a pianificazione delle attività di audit in relazione al periodo contabile corrente e ai due successivi</w:t>
      </w:r>
      <w:r w:rsidR="000E444F">
        <w:rPr>
          <w:szCs w:val="24"/>
          <w:lang w:eastAsia="it-IT"/>
        </w:rPr>
        <w:t>.</w:t>
      </w:r>
    </w:p>
    <w:p w:rsidR="00836367" w:rsidRPr="0055029D" w:rsidRDefault="00836367" w:rsidP="0055029D">
      <w:pPr>
        <w:jc w:val="both"/>
        <w:rPr>
          <w:szCs w:val="24"/>
          <w:lang w:eastAsia="it-IT"/>
        </w:rPr>
      </w:pPr>
      <w:r>
        <w:rPr>
          <w:szCs w:val="24"/>
          <w:lang w:eastAsia="it-IT"/>
        </w:rPr>
        <w:t>Relativamente al</w:t>
      </w:r>
      <w:r w:rsidRPr="0055029D">
        <w:rPr>
          <w:szCs w:val="24"/>
          <w:lang w:eastAsia="it-IT"/>
        </w:rPr>
        <w:t xml:space="preserve">la pianificazione delle attività di audit </w:t>
      </w:r>
      <w:r>
        <w:rPr>
          <w:szCs w:val="24"/>
          <w:lang w:eastAsia="it-IT"/>
        </w:rPr>
        <w:t xml:space="preserve">si ricorda che nel periodo 2007-2013 la stessa, oltre ad essere indicativa, </w:t>
      </w:r>
      <w:r w:rsidRPr="0055029D">
        <w:rPr>
          <w:szCs w:val="24"/>
          <w:lang w:eastAsia="it-IT"/>
        </w:rPr>
        <w:t xml:space="preserve">riguardava l’intero periodo di programmazione. </w:t>
      </w:r>
    </w:p>
    <w:p w:rsidR="00836367" w:rsidRPr="00226A38" w:rsidRDefault="00836367" w:rsidP="00571BCF">
      <w:pPr>
        <w:spacing w:before="0" w:after="0"/>
        <w:jc w:val="both"/>
        <w:rPr>
          <w:szCs w:val="24"/>
          <w:lang w:eastAsia="it-IT"/>
        </w:rPr>
      </w:pPr>
      <w:r w:rsidRPr="009A182C">
        <w:t xml:space="preserve">Una delle novità di maggior rilievo è rappresentata </w:t>
      </w:r>
      <w:r>
        <w:t xml:space="preserve">poi </w:t>
      </w:r>
      <w:r w:rsidRPr="009A182C">
        <w:t xml:space="preserve">dal fatto che </w:t>
      </w:r>
      <w:r w:rsidRPr="00236B22">
        <w:t>la</w:t>
      </w:r>
      <w:r>
        <w:rPr>
          <w:b/>
        </w:rPr>
        <w:t xml:space="preserve"> S</w:t>
      </w:r>
      <w:r w:rsidRPr="009A182C">
        <w:rPr>
          <w:b/>
        </w:rPr>
        <w:t xml:space="preserve">trategia di audit della nuova programmazione non sarà più sottoposta ad </w:t>
      </w:r>
      <w:r>
        <w:rPr>
          <w:b/>
        </w:rPr>
        <w:t>accettazione</w:t>
      </w:r>
      <w:r w:rsidRPr="009A182C">
        <w:rPr>
          <w:b/>
        </w:rPr>
        <w:t xml:space="preserve"> da parte della CE</w:t>
      </w:r>
      <w:r w:rsidRPr="009A182C">
        <w:t>,</w:t>
      </w:r>
      <w:r>
        <w:rPr>
          <w:color w:val="FF0000"/>
        </w:rPr>
        <w:t xml:space="preserve"> </w:t>
      </w:r>
      <w:r w:rsidRPr="003F50B6">
        <w:t xml:space="preserve">ma dovrà essere trasmessa </w:t>
      </w:r>
      <w:r w:rsidRPr="009A182C">
        <w:t xml:space="preserve">soltanto </w:t>
      </w:r>
      <w:r w:rsidRPr="003F50B6">
        <w:t>in seguito ad esplic</w:t>
      </w:r>
      <w:r>
        <w:t xml:space="preserve">ita </w:t>
      </w:r>
      <w:r w:rsidRPr="00B02139">
        <w:rPr>
          <w:b/>
        </w:rPr>
        <w:t>richiesta</w:t>
      </w:r>
      <w:r>
        <w:t xml:space="preserve"> da parte della Commissione stessa. Anche in caso di invio della stessa alla CE non sono indicati i tempi per un’eventuale reazione da parte della CE. </w:t>
      </w:r>
    </w:p>
    <w:p w:rsidR="00836367" w:rsidRPr="00EF6669" w:rsidRDefault="00836367" w:rsidP="00571BCF">
      <w:pPr>
        <w:jc w:val="both"/>
      </w:pPr>
      <w:r w:rsidRPr="00EF6669">
        <w:t xml:space="preserve">Fra il vecchio ed il nuovo Regolamento emergono </w:t>
      </w:r>
      <w:r w:rsidRPr="009A182C">
        <w:t xml:space="preserve">altre </w:t>
      </w:r>
      <w:r w:rsidRPr="00EF6669">
        <w:t xml:space="preserve">importanti differenze </w:t>
      </w:r>
      <w:r>
        <w:t xml:space="preserve">relative alla tempistica: il nuovo Regolamento, in coerenza con l’art. 59 del Regolamento finanziario n. 966/2012, dispone che la </w:t>
      </w:r>
      <w:r w:rsidRPr="00E75C21">
        <w:rPr>
          <w:b/>
        </w:rPr>
        <w:t xml:space="preserve">relazioni di </w:t>
      </w:r>
      <w:r>
        <w:rPr>
          <w:b/>
        </w:rPr>
        <w:t>controllo</w:t>
      </w:r>
      <w:r w:rsidRPr="00E75C21">
        <w:rPr>
          <w:b/>
        </w:rPr>
        <w:t xml:space="preserve"> (ex RAC) ed il parere di audit</w:t>
      </w:r>
      <w:r>
        <w:t xml:space="preserve"> dovranno essere presentati </w:t>
      </w:r>
      <w:r w:rsidRPr="004470BC">
        <w:rPr>
          <w:b/>
        </w:rPr>
        <w:t>entro il 15 febbraio di ogni anno</w:t>
      </w:r>
      <w:r>
        <w:t xml:space="preserve"> (e non più entro il 31 dicembre), insieme agli altri documenti predisposti dalle altre Autorità, per la presentazione dei conti alla Commissione europea.</w:t>
      </w:r>
    </w:p>
    <w:p w:rsidR="00836367" w:rsidRDefault="00836367" w:rsidP="00571BCF">
      <w:pPr>
        <w:jc w:val="both"/>
      </w:pPr>
      <w:r w:rsidRPr="00EF6669">
        <w:t>Altra differenza – di natura</w:t>
      </w:r>
      <w:r>
        <w:t xml:space="preserve"> meramente</w:t>
      </w:r>
      <w:r w:rsidRPr="00EF6669">
        <w:t xml:space="preserve"> terminologica – riguarda la </w:t>
      </w:r>
      <w:r w:rsidRPr="00E80988">
        <w:rPr>
          <w:b/>
        </w:rPr>
        <w:t xml:space="preserve">relazione </w:t>
      </w:r>
      <w:r>
        <w:t xml:space="preserve">e </w:t>
      </w:r>
      <w:r w:rsidRPr="00EF6669">
        <w:t>no</w:t>
      </w:r>
      <w:r>
        <w:t>n più “rapporto”,</w:t>
      </w:r>
      <w:r w:rsidRPr="00EF6669">
        <w:t xml:space="preserve"> nel caso in cui si applichi un sistema comune di gestione e controllo a più programmi operativi.</w:t>
      </w:r>
      <w:r>
        <w:t xml:space="preserve"> </w:t>
      </w:r>
    </w:p>
    <w:p w:rsidR="00836367" w:rsidRDefault="00836367" w:rsidP="00571BCF">
      <w:pPr>
        <w:jc w:val="both"/>
      </w:pPr>
      <w:r>
        <w:lastRenderedPageBreak/>
        <w:t xml:space="preserve">In linea generale inoltre si rileva che </w:t>
      </w:r>
      <w:proofErr w:type="spellStart"/>
      <w:r w:rsidR="000E444F">
        <w:t>l’AdA</w:t>
      </w:r>
      <w:proofErr w:type="spellEnd"/>
      <w:r w:rsidR="000E444F">
        <w:t xml:space="preserve"> “prepara” e non “presenta”</w:t>
      </w:r>
      <w:r>
        <w:t xml:space="preserve"> la documentazione</w:t>
      </w:r>
      <w:r w:rsidR="00D36C16">
        <w:t xml:space="preserve">; ai sensi </w:t>
      </w:r>
      <w:r w:rsidR="00D36C16" w:rsidRPr="006854CA">
        <w:t>dell’art. 138 del reg. 1303/2013 è lo SM che svolge tale funzione</w:t>
      </w:r>
      <w:r w:rsidR="00A05F55" w:rsidRPr="006854CA">
        <w:t>,</w:t>
      </w:r>
      <w:r w:rsidRPr="006854CA">
        <w:t xml:space="preserve"> pertanto </w:t>
      </w:r>
      <w:r w:rsidR="000E444F" w:rsidRPr="006854CA">
        <w:t xml:space="preserve">si potrebbe </w:t>
      </w:r>
      <w:r w:rsidRPr="006854CA">
        <w:t xml:space="preserve">presupporre la necessità di un confronto interno </w:t>
      </w:r>
      <w:r w:rsidR="000E444F" w:rsidRPr="006854CA">
        <w:t>propedeutico all’</w:t>
      </w:r>
      <w:r w:rsidRPr="006854CA">
        <w:t>invio dei documenti alla stessa CE</w:t>
      </w:r>
      <w:r w:rsidR="00A05F55" w:rsidRPr="006854CA">
        <w:t xml:space="preserve"> (cfr. approfondimento presentazione dei conti)</w:t>
      </w:r>
      <w:r w:rsidRPr="006854CA">
        <w:t>.</w:t>
      </w:r>
      <w:r>
        <w:t xml:space="preserve"> </w:t>
      </w:r>
    </w:p>
    <w:p w:rsidR="00836367" w:rsidRDefault="00836367" w:rsidP="00571BCF">
      <w:pPr>
        <w:jc w:val="both"/>
      </w:pPr>
      <w:r>
        <w:t xml:space="preserve">La </w:t>
      </w:r>
      <w:r w:rsidRPr="00CC409B">
        <w:rPr>
          <w:b/>
        </w:rPr>
        <w:t>relazione di controllo</w:t>
      </w:r>
      <w:r>
        <w:t xml:space="preserve"> evidenzierà le principali risultanze delle attività di audit svolte, ovvero sul SIGECO e sulle operazioni, comprese le carenze riscontrate nei sistemi di gestione e di controllo e le azioni correttive proposte e attuate. Tale relazione farà pertanto sintesi delle attività di audit svolte. Rispetto alla tempistica, il primo invio sarà effettuato entro il 15 Febbraio 2016 e si riferirà al primo periodo contabile che va dalla data di inizio di ammissibilità delle spese al 30 giugno 2015. Nell’attuale periodo di programmazione, il primo RAC è stato trasmesso nel 2008. </w:t>
      </w:r>
    </w:p>
    <w:p w:rsidR="00836367" w:rsidRDefault="00836367" w:rsidP="00571BCF">
      <w:pPr>
        <w:jc w:val="both"/>
      </w:pPr>
      <w:r>
        <w:t>Periodicamente entro febbraio di ciascun anno, a partire dal 2016, andranno predisposte la relazione di controllo e il parere che accompagneranno i conti, fino al 2025 per la chiusura.</w:t>
      </w:r>
    </w:p>
    <w:p w:rsidR="00836367" w:rsidRDefault="00836367" w:rsidP="00571BCF">
      <w:pPr>
        <w:jc w:val="both"/>
      </w:pPr>
      <w:r>
        <w:t xml:space="preserve">Come già detto, la finalità del parere di audit formulato </w:t>
      </w:r>
      <w:proofErr w:type="spellStart"/>
      <w:r>
        <w:t>dall’AdA</w:t>
      </w:r>
      <w:proofErr w:type="spellEnd"/>
      <w:r>
        <w:t xml:space="preserve"> assume un’importanza fondamentale. Ai sensi del regolamento finanziario, infatti, il </w:t>
      </w:r>
      <w:r w:rsidRPr="002A3E77">
        <w:rPr>
          <w:b/>
        </w:rPr>
        <w:t>parere di audit</w:t>
      </w:r>
      <w:r>
        <w:t xml:space="preserve"> accerterà se i </w:t>
      </w:r>
      <w:r w:rsidRPr="002A3E77">
        <w:rPr>
          <w:i/>
        </w:rPr>
        <w:t>conti</w:t>
      </w:r>
      <w:r>
        <w:t xml:space="preserve"> forniscono un quadro fedele, se le spese per le quali </w:t>
      </w:r>
      <w:r w:rsidR="00CF5499">
        <w:t>è stato chiesto</w:t>
      </w:r>
      <w:r>
        <w:t xml:space="preserve"> il rimborso </w:t>
      </w:r>
      <w:r w:rsidR="00CF5499">
        <w:t xml:space="preserve">alla CE </w:t>
      </w:r>
      <w:r>
        <w:t xml:space="preserve">sono legali e regolari e se i sistemi di controllo istituiti funzionano correttamente. </w:t>
      </w:r>
    </w:p>
    <w:p w:rsidR="00836367" w:rsidRDefault="00836367" w:rsidP="00571BCF">
      <w:pPr>
        <w:jc w:val="both"/>
      </w:pPr>
      <w:r>
        <w:t>Nel periodo 2007-2013, invece, il parere confermava se il SIGECO forniva ragionevole garanzie circa la correttezza delle dichiarazioni di spesa presentate alla commissione e circa la legittimità e regolarità delle transazioni soggiacenti.</w:t>
      </w:r>
    </w:p>
    <w:p w:rsidR="00836367" w:rsidRDefault="00836367" w:rsidP="00571BCF">
      <w:pPr>
        <w:spacing w:before="0" w:after="0"/>
        <w:jc w:val="both"/>
        <w:rPr>
          <w:szCs w:val="24"/>
          <w:lang w:eastAsia="it-IT"/>
        </w:rPr>
      </w:pPr>
      <w:r w:rsidRPr="009A182C">
        <w:t xml:space="preserve">Infine, fra le altre novità, si evidenzia il fatto che </w:t>
      </w:r>
      <w:r>
        <w:t xml:space="preserve">la </w:t>
      </w:r>
      <w:r>
        <w:rPr>
          <w:szCs w:val="24"/>
          <w:lang w:eastAsia="it-IT"/>
        </w:rPr>
        <w:t xml:space="preserve">Commissione adotta </w:t>
      </w:r>
      <w:r w:rsidRPr="00E80988">
        <w:rPr>
          <w:b/>
          <w:szCs w:val="24"/>
          <w:lang w:eastAsia="it-IT"/>
        </w:rPr>
        <w:t>atti di esecuzione</w:t>
      </w:r>
      <w:r>
        <w:rPr>
          <w:szCs w:val="24"/>
          <w:lang w:eastAsia="it-IT"/>
        </w:rPr>
        <w:t xml:space="preserve"> </w:t>
      </w:r>
      <w:r w:rsidRPr="009A182C">
        <w:rPr>
          <w:szCs w:val="24"/>
          <w:lang w:eastAsia="it-IT"/>
        </w:rPr>
        <w:t xml:space="preserve">– secondo la procedura consultiva (art. 150, par. 2) – </w:t>
      </w:r>
      <w:r>
        <w:rPr>
          <w:szCs w:val="24"/>
          <w:lang w:eastAsia="it-IT"/>
        </w:rPr>
        <w:t xml:space="preserve">per stabilire i modelli per la Strategia di audit, il parere di audit e la relazione di controllo. </w:t>
      </w:r>
      <w:r w:rsidRPr="001237A2">
        <w:rPr>
          <w:szCs w:val="24"/>
          <w:lang w:eastAsia="it-IT"/>
        </w:rPr>
        <w:t>Tale nuova disposizione ha l’esplicita finalità di garantire condizioni uniformi di esecuzione del presente articolo, attinente le funzioni dell’Autorità di audit.</w:t>
      </w:r>
    </w:p>
    <w:p w:rsidR="00836367" w:rsidRPr="00660753" w:rsidRDefault="00836367" w:rsidP="00571BCF">
      <w:pPr>
        <w:spacing w:before="0" w:after="0"/>
        <w:jc w:val="both"/>
        <w:rPr>
          <w:sz w:val="16"/>
          <w:szCs w:val="16"/>
          <w:lang w:eastAsia="it-IT"/>
        </w:rPr>
      </w:pPr>
    </w:p>
    <w:p w:rsidR="00836367" w:rsidRDefault="00836367" w:rsidP="00571BCF">
      <w:pPr>
        <w:spacing w:before="0" w:after="0"/>
        <w:jc w:val="both"/>
        <w:rPr>
          <w:szCs w:val="24"/>
          <w:lang w:eastAsia="it-IT"/>
        </w:rPr>
      </w:pPr>
      <w:r w:rsidRPr="001237A2">
        <w:rPr>
          <w:szCs w:val="24"/>
          <w:lang w:eastAsia="it-IT"/>
        </w:rPr>
        <w:t>Alla Commissione, inoltre, è conferito</w:t>
      </w:r>
      <w:r w:rsidRPr="009A182C">
        <w:rPr>
          <w:szCs w:val="24"/>
          <w:lang w:eastAsia="it-IT"/>
        </w:rPr>
        <w:t xml:space="preserve"> </w:t>
      </w:r>
      <w:r>
        <w:rPr>
          <w:szCs w:val="24"/>
          <w:lang w:eastAsia="it-IT"/>
        </w:rPr>
        <w:t xml:space="preserve">il potere di adottare </w:t>
      </w:r>
      <w:r w:rsidRPr="00E80988">
        <w:rPr>
          <w:b/>
          <w:szCs w:val="24"/>
          <w:lang w:eastAsia="it-IT"/>
        </w:rPr>
        <w:t>atti delegati</w:t>
      </w:r>
      <w:r>
        <w:rPr>
          <w:szCs w:val="24"/>
          <w:lang w:eastAsia="it-IT"/>
        </w:rPr>
        <w:t xml:space="preserve"> </w:t>
      </w:r>
      <w:r w:rsidRPr="009A182C">
        <w:rPr>
          <w:szCs w:val="24"/>
          <w:lang w:eastAsia="it-IT"/>
        </w:rPr>
        <w:t>riguardanti l’ambito e i co</w:t>
      </w:r>
      <w:r>
        <w:rPr>
          <w:szCs w:val="24"/>
          <w:lang w:eastAsia="it-IT"/>
        </w:rPr>
        <w:t xml:space="preserve">ntenuti degli audit relativi alle operazioni e ai conti, nonché la metodologia per la selezione del campione di operazioni. </w:t>
      </w:r>
    </w:p>
    <w:p w:rsidR="00836367" w:rsidRDefault="00836367" w:rsidP="00571BCF">
      <w:pPr>
        <w:spacing w:before="0" w:after="0"/>
        <w:jc w:val="both"/>
        <w:rPr>
          <w:szCs w:val="24"/>
          <w:lang w:eastAsia="it-IT"/>
        </w:rPr>
      </w:pPr>
      <w:r w:rsidRPr="00A04350">
        <w:rPr>
          <w:szCs w:val="24"/>
          <w:lang w:eastAsia="it-IT"/>
        </w:rPr>
        <w:t xml:space="preserve">Atti delegati possono essere adottati dalla Commissione anche riguardo alle norme sull’uso dei dati raccolti durante gli audit effettuati da funzionari o da rappresentanti autorizzati della CE. </w:t>
      </w:r>
    </w:p>
    <w:p w:rsidR="00836367" w:rsidRDefault="00836367" w:rsidP="00571BCF">
      <w:pPr>
        <w:spacing w:before="0" w:after="0"/>
        <w:jc w:val="both"/>
        <w:rPr>
          <w:szCs w:val="24"/>
          <w:lang w:eastAsia="it-IT"/>
        </w:rPr>
      </w:pPr>
      <w:r w:rsidRPr="00A04350">
        <w:rPr>
          <w:szCs w:val="24"/>
          <w:lang w:eastAsia="it-IT"/>
        </w:rPr>
        <w:t>Alcuni di essi sono già in fase di finalizzazione e pubblicazione in Gazzetta Ufficiale.</w:t>
      </w:r>
      <w:r>
        <w:rPr>
          <w:szCs w:val="24"/>
          <w:lang w:eastAsia="it-IT"/>
        </w:rPr>
        <w:t xml:space="preserve">  </w:t>
      </w:r>
    </w:p>
    <w:p w:rsidR="00836367" w:rsidRDefault="00836367" w:rsidP="00571BCF">
      <w:pPr>
        <w:spacing w:before="0" w:after="0"/>
        <w:jc w:val="both"/>
        <w:rPr>
          <w:szCs w:val="24"/>
          <w:lang w:eastAsia="it-IT"/>
        </w:rPr>
      </w:pPr>
      <w:r>
        <w:rPr>
          <w:szCs w:val="24"/>
          <w:lang w:eastAsia="it-IT"/>
        </w:rPr>
        <w:t>I dettagli relativi a tali aspetti erano già presenti nel periodo 2007-2013 in sezioni apposite nel regolamento 1828/2006 ad eccezione ovviamente dell’audit sui conti che costituisce un elemento di novità.</w:t>
      </w:r>
    </w:p>
    <w:sectPr w:rsidR="00836367" w:rsidSect="0014759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3CE" w:rsidRDefault="004E43CE" w:rsidP="007874A7">
      <w:pPr>
        <w:spacing w:before="0" w:after="0"/>
      </w:pPr>
      <w:r>
        <w:separator/>
      </w:r>
    </w:p>
  </w:endnote>
  <w:endnote w:type="continuationSeparator" w:id="0">
    <w:p w:rsidR="004E43CE" w:rsidRDefault="004E43CE" w:rsidP="007874A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367" w:rsidRDefault="00DB28DC">
    <w:pPr>
      <w:pStyle w:val="Pidipagina"/>
      <w:jc w:val="right"/>
    </w:pPr>
    <w:r>
      <w:fldChar w:fldCharType="begin"/>
    </w:r>
    <w:r>
      <w:instrText>PAGE   \* MERGEFORMAT</w:instrText>
    </w:r>
    <w:r>
      <w:fldChar w:fldCharType="separate"/>
    </w:r>
    <w:r w:rsidR="00AF2FB7">
      <w:rPr>
        <w:noProof/>
      </w:rPr>
      <w:t>14</w:t>
    </w:r>
    <w:r>
      <w:rPr>
        <w:noProof/>
      </w:rPr>
      <w:fldChar w:fldCharType="end"/>
    </w:r>
  </w:p>
  <w:p w:rsidR="00836367" w:rsidRPr="00AF2FB7" w:rsidRDefault="00AF2FB7" w:rsidP="00AF2FB7">
    <w:pPr>
      <w:pStyle w:val="Pidipagina"/>
      <w:jc w:val="center"/>
      <w:rPr>
        <w:sz w:val="20"/>
      </w:rPr>
    </w:pPr>
    <w:r w:rsidRPr="00AF2FB7">
      <w:rPr>
        <w:sz w:val="20"/>
      </w:rPr>
      <w:t xml:space="preserve">Tecnostruttura delle Regioni – </w:t>
    </w:r>
    <w:proofErr w:type="spellStart"/>
    <w:r w:rsidRPr="00AF2FB7">
      <w:rPr>
        <w:sz w:val="20"/>
      </w:rPr>
      <w:t>All</w:t>
    </w:r>
    <w:proofErr w:type="spellEnd"/>
    <w:r w:rsidRPr="00AF2FB7">
      <w:rPr>
        <w:sz w:val="20"/>
      </w:rPr>
      <w:t xml:space="preserve">. 1 al </w:t>
    </w:r>
    <w:proofErr w:type="spellStart"/>
    <w:r w:rsidRPr="00AF2FB7">
      <w:rPr>
        <w:sz w:val="20"/>
      </w:rPr>
      <w:t>prot</w:t>
    </w:r>
    <w:proofErr w:type="spellEnd"/>
    <w:r w:rsidRPr="00AF2FB7">
      <w:rPr>
        <w:sz w:val="20"/>
      </w:rPr>
      <w:t>. 905/FSE del 2 aprile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3CE" w:rsidRDefault="004E43CE" w:rsidP="007874A7">
      <w:pPr>
        <w:spacing w:before="0" w:after="0"/>
      </w:pPr>
      <w:r>
        <w:separator/>
      </w:r>
    </w:p>
  </w:footnote>
  <w:footnote w:type="continuationSeparator" w:id="0">
    <w:p w:rsidR="004E43CE" w:rsidRDefault="004E43CE" w:rsidP="007874A7">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31197"/>
    <w:multiLevelType w:val="hybridMultilevel"/>
    <w:tmpl w:val="4C2201D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0B3"/>
    <w:rsid w:val="00041ADF"/>
    <w:rsid w:val="00045E25"/>
    <w:rsid w:val="00060862"/>
    <w:rsid w:val="00065D4B"/>
    <w:rsid w:val="00076184"/>
    <w:rsid w:val="00096E4A"/>
    <w:rsid w:val="000A3CDC"/>
    <w:rsid w:val="000A4182"/>
    <w:rsid w:val="000A551C"/>
    <w:rsid w:val="000C305C"/>
    <w:rsid w:val="000E3E94"/>
    <w:rsid w:val="000E444F"/>
    <w:rsid w:val="000F15A2"/>
    <w:rsid w:val="000F2E0F"/>
    <w:rsid w:val="0011257C"/>
    <w:rsid w:val="00115F6B"/>
    <w:rsid w:val="001202DE"/>
    <w:rsid w:val="001214DC"/>
    <w:rsid w:val="001230BA"/>
    <w:rsid w:val="00123408"/>
    <w:rsid w:val="001237A2"/>
    <w:rsid w:val="00126D44"/>
    <w:rsid w:val="00142FE6"/>
    <w:rsid w:val="0014316E"/>
    <w:rsid w:val="00147592"/>
    <w:rsid w:val="00152744"/>
    <w:rsid w:val="00155618"/>
    <w:rsid w:val="00172979"/>
    <w:rsid w:val="00184964"/>
    <w:rsid w:val="0019643D"/>
    <w:rsid w:val="001A13EE"/>
    <w:rsid w:val="001A222E"/>
    <w:rsid w:val="001A5995"/>
    <w:rsid w:val="001D13A2"/>
    <w:rsid w:val="001D6FA8"/>
    <w:rsid w:val="00211BA9"/>
    <w:rsid w:val="002161B0"/>
    <w:rsid w:val="002256A7"/>
    <w:rsid w:val="00226A38"/>
    <w:rsid w:val="00236B22"/>
    <w:rsid w:val="00242C2C"/>
    <w:rsid w:val="0024369D"/>
    <w:rsid w:val="00264673"/>
    <w:rsid w:val="002915DE"/>
    <w:rsid w:val="00291856"/>
    <w:rsid w:val="00294678"/>
    <w:rsid w:val="0029616E"/>
    <w:rsid w:val="002A154C"/>
    <w:rsid w:val="002A3E77"/>
    <w:rsid w:val="002A7A16"/>
    <w:rsid w:val="002C3D89"/>
    <w:rsid w:val="002D23F8"/>
    <w:rsid w:val="002D2F21"/>
    <w:rsid w:val="002D34DB"/>
    <w:rsid w:val="002F2005"/>
    <w:rsid w:val="0030680E"/>
    <w:rsid w:val="00316FC8"/>
    <w:rsid w:val="00345CD5"/>
    <w:rsid w:val="00351B79"/>
    <w:rsid w:val="00361FC1"/>
    <w:rsid w:val="003634F4"/>
    <w:rsid w:val="003768CC"/>
    <w:rsid w:val="003861F5"/>
    <w:rsid w:val="00387BC0"/>
    <w:rsid w:val="003904FA"/>
    <w:rsid w:val="003963CF"/>
    <w:rsid w:val="003B0F70"/>
    <w:rsid w:val="003B71C4"/>
    <w:rsid w:val="003D1E15"/>
    <w:rsid w:val="003D27C8"/>
    <w:rsid w:val="003E3375"/>
    <w:rsid w:val="003E4C12"/>
    <w:rsid w:val="003F50B6"/>
    <w:rsid w:val="003F6156"/>
    <w:rsid w:val="00414308"/>
    <w:rsid w:val="00424B5E"/>
    <w:rsid w:val="0043349D"/>
    <w:rsid w:val="00436EE2"/>
    <w:rsid w:val="00442B25"/>
    <w:rsid w:val="0044489A"/>
    <w:rsid w:val="004470BC"/>
    <w:rsid w:val="00452D6A"/>
    <w:rsid w:val="0048567D"/>
    <w:rsid w:val="00487FD1"/>
    <w:rsid w:val="004A0CBF"/>
    <w:rsid w:val="004B13E2"/>
    <w:rsid w:val="004B57AC"/>
    <w:rsid w:val="004C00C0"/>
    <w:rsid w:val="004C074D"/>
    <w:rsid w:val="004C2A62"/>
    <w:rsid w:val="004E1E51"/>
    <w:rsid w:val="004E3EBA"/>
    <w:rsid w:val="004E43CE"/>
    <w:rsid w:val="004E67CF"/>
    <w:rsid w:val="004F5735"/>
    <w:rsid w:val="00505976"/>
    <w:rsid w:val="00505982"/>
    <w:rsid w:val="00511409"/>
    <w:rsid w:val="0052315C"/>
    <w:rsid w:val="0055029D"/>
    <w:rsid w:val="00554811"/>
    <w:rsid w:val="00555AA7"/>
    <w:rsid w:val="00560E81"/>
    <w:rsid w:val="00571BCF"/>
    <w:rsid w:val="00574F55"/>
    <w:rsid w:val="00584348"/>
    <w:rsid w:val="005A2D81"/>
    <w:rsid w:val="005B74B9"/>
    <w:rsid w:val="005C04F1"/>
    <w:rsid w:val="005C2E0C"/>
    <w:rsid w:val="005C50AF"/>
    <w:rsid w:val="005C6C79"/>
    <w:rsid w:val="005D3F5C"/>
    <w:rsid w:val="005E5C83"/>
    <w:rsid w:val="005F0122"/>
    <w:rsid w:val="005F071B"/>
    <w:rsid w:val="005F5B16"/>
    <w:rsid w:val="00623896"/>
    <w:rsid w:val="006264FF"/>
    <w:rsid w:val="00626DC0"/>
    <w:rsid w:val="00645DAF"/>
    <w:rsid w:val="00656183"/>
    <w:rsid w:val="00660753"/>
    <w:rsid w:val="00667471"/>
    <w:rsid w:val="00681F11"/>
    <w:rsid w:val="00684331"/>
    <w:rsid w:val="006854CA"/>
    <w:rsid w:val="00692754"/>
    <w:rsid w:val="006A7366"/>
    <w:rsid w:val="006C7C9D"/>
    <w:rsid w:val="006D4BD0"/>
    <w:rsid w:val="006E1C98"/>
    <w:rsid w:val="006E6CE9"/>
    <w:rsid w:val="006F732E"/>
    <w:rsid w:val="0070414B"/>
    <w:rsid w:val="00706F11"/>
    <w:rsid w:val="00710305"/>
    <w:rsid w:val="00716060"/>
    <w:rsid w:val="00717681"/>
    <w:rsid w:val="00724332"/>
    <w:rsid w:val="007260A1"/>
    <w:rsid w:val="00730774"/>
    <w:rsid w:val="0073655C"/>
    <w:rsid w:val="007453B4"/>
    <w:rsid w:val="00745999"/>
    <w:rsid w:val="00760DCB"/>
    <w:rsid w:val="007666D0"/>
    <w:rsid w:val="00767903"/>
    <w:rsid w:val="00782279"/>
    <w:rsid w:val="007828E4"/>
    <w:rsid w:val="0078372E"/>
    <w:rsid w:val="007874A7"/>
    <w:rsid w:val="00794295"/>
    <w:rsid w:val="00795E5D"/>
    <w:rsid w:val="007B004E"/>
    <w:rsid w:val="007D115D"/>
    <w:rsid w:val="007F0FFC"/>
    <w:rsid w:val="00823C2E"/>
    <w:rsid w:val="00836367"/>
    <w:rsid w:val="00844EE4"/>
    <w:rsid w:val="00846585"/>
    <w:rsid w:val="00853752"/>
    <w:rsid w:val="00855135"/>
    <w:rsid w:val="00863987"/>
    <w:rsid w:val="008674C7"/>
    <w:rsid w:val="00887600"/>
    <w:rsid w:val="008966AE"/>
    <w:rsid w:val="008A01E7"/>
    <w:rsid w:val="008A07D4"/>
    <w:rsid w:val="008A3868"/>
    <w:rsid w:val="008A3DBE"/>
    <w:rsid w:val="008B32DE"/>
    <w:rsid w:val="008C13C1"/>
    <w:rsid w:val="008C57B1"/>
    <w:rsid w:val="008C606C"/>
    <w:rsid w:val="008C707C"/>
    <w:rsid w:val="008E2C70"/>
    <w:rsid w:val="00901758"/>
    <w:rsid w:val="00904916"/>
    <w:rsid w:val="009231F8"/>
    <w:rsid w:val="00923A83"/>
    <w:rsid w:val="009578D8"/>
    <w:rsid w:val="00965491"/>
    <w:rsid w:val="0096617C"/>
    <w:rsid w:val="00990B3D"/>
    <w:rsid w:val="009A182C"/>
    <w:rsid w:val="009A3444"/>
    <w:rsid w:val="009B54F5"/>
    <w:rsid w:val="009C551D"/>
    <w:rsid w:val="009E19BA"/>
    <w:rsid w:val="009E1F89"/>
    <w:rsid w:val="009E57C5"/>
    <w:rsid w:val="009F0333"/>
    <w:rsid w:val="009F4404"/>
    <w:rsid w:val="009F5AEA"/>
    <w:rsid w:val="009F6A38"/>
    <w:rsid w:val="00A04350"/>
    <w:rsid w:val="00A05F55"/>
    <w:rsid w:val="00A10BAF"/>
    <w:rsid w:val="00A166AB"/>
    <w:rsid w:val="00A251E0"/>
    <w:rsid w:val="00A310B3"/>
    <w:rsid w:val="00A326CC"/>
    <w:rsid w:val="00A56E85"/>
    <w:rsid w:val="00A709B7"/>
    <w:rsid w:val="00AA4523"/>
    <w:rsid w:val="00AA51F5"/>
    <w:rsid w:val="00AA6CA0"/>
    <w:rsid w:val="00AB4A10"/>
    <w:rsid w:val="00AB4B98"/>
    <w:rsid w:val="00AC6E98"/>
    <w:rsid w:val="00AD0CF4"/>
    <w:rsid w:val="00AD220D"/>
    <w:rsid w:val="00AD367E"/>
    <w:rsid w:val="00AE04AA"/>
    <w:rsid w:val="00AE3564"/>
    <w:rsid w:val="00AE3EE8"/>
    <w:rsid w:val="00AE5B50"/>
    <w:rsid w:val="00AF1EA1"/>
    <w:rsid w:val="00AF2FB7"/>
    <w:rsid w:val="00AF3F02"/>
    <w:rsid w:val="00B02139"/>
    <w:rsid w:val="00B023A7"/>
    <w:rsid w:val="00B13B79"/>
    <w:rsid w:val="00B161BC"/>
    <w:rsid w:val="00B36B8D"/>
    <w:rsid w:val="00B44471"/>
    <w:rsid w:val="00B50E6E"/>
    <w:rsid w:val="00B61C54"/>
    <w:rsid w:val="00B65947"/>
    <w:rsid w:val="00B75823"/>
    <w:rsid w:val="00B873CC"/>
    <w:rsid w:val="00B90F7B"/>
    <w:rsid w:val="00B93C3F"/>
    <w:rsid w:val="00B96933"/>
    <w:rsid w:val="00B97E18"/>
    <w:rsid w:val="00BA7ED4"/>
    <w:rsid w:val="00BB69EA"/>
    <w:rsid w:val="00BC0E60"/>
    <w:rsid w:val="00BC459C"/>
    <w:rsid w:val="00BC74D6"/>
    <w:rsid w:val="00BE5777"/>
    <w:rsid w:val="00BF3F47"/>
    <w:rsid w:val="00BF4B33"/>
    <w:rsid w:val="00C11944"/>
    <w:rsid w:val="00C2002E"/>
    <w:rsid w:val="00C33243"/>
    <w:rsid w:val="00C47899"/>
    <w:rsid w:val="00C87CE5"/>
    <w:rsid w:val="00C91FAE"/>
    <w:rsid w:val="00C94289"/>
    <w:rsid w:val="00CA08FB"/>
    <w:rsid w:val="00CA1C31"/>
    <w:rsid w:val="00CC409B"/>
    <w:rsid w:val="00CD1E91"/>
    <w:rsid w:val="00CD7CA4"/>
    <w:rsid w:val="00CE1903"/>
    <w:rsid w:val="00CE5E01"/>
    <w:rsid w:val="00CF404F"/>
    <w:rsid w:val="00CF5499"/>
    <w:rsid w:val="00D017CB"/>
    <w:rsid w:val="00D15428"/>
    <w:rsid w:val="00D20582"/>
    <w:rsid w:val="00D341FF"/>
    <w:rsid w:val="00D36C16"/>
    <w:rsid w:val="00D3767D"/>
    <w:rsid w:val="00D52862"/>
    <w:rsid w:val="00D55206"/>
    <w:rsid w:val="00D65FF4"/>
    <w:rsid w:val="00D679C7"/>
    <w:rsid w:val="00D75F59"/>
    <w:rsid w:val="00D76486"/>
    <w:rsid w:val="00D908A3"/>
    <w:rsid w:val="00D96F59"/>
    <w:rsid w:val="00DA6B35"/>
    <w:rsid w:val="00DB28DC"/>
    <w:rsid w:val="00DB798F"/>
    <w:rsid w:val="00DC0754"/>
    <w:rsid w:val="00DC472E"/>
    <w:rsid w:val="00DF4909"/>
    <w:rsid w:val="00DF67F5"/>
    <w:rsid w:val="00E042CD"/>
    <w:rsid w:val="00E122FB"/>
    <w:rsid w:val="00E17686"/>
    <w:rsid w:val="00E234D5"/>
    <w:rsid w:val="00E34662"/>
    <w:rsid w:val="00E4167F"/>
    <w:rsid w:val="00E41F44"/>
    <w:rsid w:val="00E56499"/>
    <w:rsid w:val="00E748E2"/>
    <w:rsid w:val="00E75C21"/>
    <w:rsid w:val="00E80277"/>
    <w:rsid w:val="00E80988"/>
    <w:rsid w:val="00E84A79"/>
    <w:rsid w:val="00E910B1"/>
    <w:rsid w:val="00E91107"/>
    <w:rsid w:val="00E92C9D"/>
    <w:rsid w:val="00E978F8"/>
    <w:rsid w:val="00EA6111"/>
    <w:rsid w:val="00EA6B86"/>
    <w:rsid w:val="00EA7CF9"/>
    <w:rsid w:val="00EC38E3"/>
    <w:rsid w:val="00ED1C93"/>
    <w:rsid w:val="00EF034D"/>
    <w:rsid w:val="00EF11E1"/>
    <w:rsid w:val="00EF6669"/>
    <w:rsid w:val="00EF6C56"/>
    <w:rsid w:val="00F163B0"/>
    <w:rsid w:val="00F6251D"/>
    <w:rsid w:val="00F636E9"/>
    <w:rsid w:val="00F6661A"/>
    <w:rsid w:val="00F7144C"/>
    <w:rsid w:val="00F83B78"/>
    <w:rsid w:val="00F969E4"/>
    <w:rsid w:val="00F96C11"/>
    <w:rsid w:val="00FA363C"/>
    <w:rsid w:val="00FB1395"/>
    <w:rsid w:val="00FB1682"/>
    <w:rsid w:val="00FC46D8"/>
    <w:rsid w:val="00FD209E"/>
    <w:rsid w:val="00FD57C8"/>
    <w:rsid w:val="00FE3C12"/>
    <w:rsid w:val="00FE6AEB"/>
    <w:rsid w:val="00FF75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C9981C4B-5915-4A36-8C03-0718289E3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D23F8"/>
    <w:pPr>
      <w:spacing w:before="120" w:after="120"/>
    </w:pPr>
    <w:rPr>
      <w:rFonts w:ascii="Times New Roman" w:hAnsi="Times New Roman"/>
      <w:sz w:val="24"/>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A310B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taapidipagina">
    <w:name w:val="footnote text"/>
    <w:basedOn w:val="Normale"/>
    <w:link w:val="TestonotaapidipaginaCarattere"/>
    <w:uiPriority w:val="99"/>
    <w:semiHidden/>
    <w:rsid w:val="007874A7"/>
    <w:pPr>
      <w:spacing w:before="0" w:after="0"/>
    </w:pPr>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7874A7"/>
    <w:rPr>
      <w:rFonts w:ascii="Times New Roman" w:hAnsi="Times New Roman" w:cs="Times New Roman"/>
      <w:sz w:val="20"/>
      <w:szCs w:val="20"/>
    </w:rPr>
  </w:style>
  <w:style w:type="character" w:styleId="Rimandonotaapidipagina">
    <w:name w:val="footnote reference"/>
    <w:basedOn w:val="Carpredefinitoparagrafo"/>
    <w:uiPriority w:val="99"/>
    <w:semiHidden/>
    <w:rsid w:val="007874A7"/>
    <w:rPr>
      <w:rFonts w:cs="Times New Roman"/>
      <w:vertAlign w:val="superscript"/>
    </w:rPr>
  </w:style>
  <w:style w:type="paragraph" w:styleId="NormaleWeb">
    <w:name w:val="Normal (Web)"/>
    <w:basedOn w:val="Normale"/>
    <w:uiPriority w:val="99"/>
    <w:semiHidden/>
    <w:rsid w:val="00FB1395"/>
    <w:pPr>
      <w:spacing w:before="100" w:beforeAutospacing="1" w:after="100" w:afterAutospacing="1"/>
    </w:pPr>
    <w:rPr>
      <w:rFonts w:eastAsia="Times New Roman"/>
      <w:szCs w:val="24"/>
      <w:lang w:eastAsia="it-IT"/>
    </w:rPr>
  </w:style>
  <w:style w:type="paragraph" w:styleId="Testofumetto">
    <w:name w:val="Balloon Text"/>
    <w:basedOn w:val="Normale"/>
    <w:link w:val="TestofumettoCarattere"/>
    <w:uiPriority w:val="99"/>
    <w:semiHidden/>
    <w:rsid w:val="00076184"/>
    <w:pPr>
      <w:spacing w:before="0"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locked/>
    <w:rsid w:val="00076184"/>
    <w:rPr>
      <w:rFonts w:ascii="Segoe UI" w:hAnsi="Segoe UI" w:cs="Segoe UI"/>
      <w:sz w:val="18"/>
      <w:szCs w:val="18"/>
    </w:rPr>
  </w:style>
  <w:style w:type="paragraph" w:styleId="Paragrafoelenco">
    <w:name w:val="List Paragraph"/>
    <w:basedOn w:val="Normale"/>
    <w:uiPriority w:val="99"/>
    <w:qFormat/>
    <w:rsid w:val="0055029D"/>
    <w:pPr>
      <w:ind w:left="720"/>
      <w:contextualSpacing/>
    </w:pPr>
  </w:style>
  <w:style w:type="paragraph" w:styleId="Intestazione">
    <w:name w:val="header"/>
    <w:basedOn w:val="Normale"/>
    <w:link w:val="IntestazioneCarattere"/>
    <w:uiPriority w:val="99"/>
    <w:rsid w:val="002A3E7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locked/>
    <w:rsid w:val="002A3E77"/>
    <w:rPr>
      <w:rFonts w:ascii="Times New Roman" w:hAnsi="Times New Roman" w:cs="Times New Roman"/>
      <w:sz w:val="24"/>
    </w:rPr>
  </w:style>
  <w:style w:type="paragraph" w:styleId="Pidipagina">
    <w:name w:val="footer"/>
    <w:basedOn w:val="Normale"/>
    <w:link w:val="PidipaginaCarattere"/>
    <w:uiPriority w:val="99"/>
    <w:rsid w:val="002A3E77"/>
    <w:pPr>
      <w:tabs>
        <w:tab w:val="center" w:pos="4819"/>
        <w:tab w:val="right" w:pos="9638"/>
      </w:tabs>
      <w:spacing w:before="0" w:after="0"/>
    </w:pPr>
  </w:style>
  <w:style w:type="character" w:customStyle="1" w:styleId="PidipaginaCarattere">
    <w:name w:val="Piè di pagina Carattere"/>
    <w:basedOn w:val="Carpredefinitoparagrafo"/>
    <w:link w:val="Pidipagina"/>
    <w:uiPriority w:val="99"/>
    <w:locked/>
    <w:rsid w:val="002A3E77"/>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600">
      <w:marLeft w:val="0"/>
      <w:marRight w:val="0"/>
      <w:marTop w:val="0"/>
      <w:marBottom w:val="0"/>
      <w:divBdr>
        <w:top w:val="none" w:sz="0" w:space="0" w:color="auto"/>
        <w:left w:val="none" w:sz="0" w:space="0" w:color="auto"/>
        <w:bottom w:val="none" w:sz="0" w:space="0" w:color="auto"/>
        <w:right w:val="none" w:sz="0" w:space="0" w:color="auto"/>
      </w:divBdr>
    </w:div>
    <w:div w:id="1139146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6615</Words>
  <Characters>37707</Characters>
  <Application>Microsoft Office Word</Application>
  <DocSecurity>0</DocSecurity>
  <Lines>314</Lines>
  <Paragraphs>88</Paragraphs>
  <ScaleCrop>false</ScaleCrop>
  <HeadingPairs>
    <vt:vector size="2" baseType="variant">
      <vt:variant>
        <vt:lpstr>Titolo</vt:lpstr>
      </vt:variant>
      <vt:variant>
        <vt:i4>1</vt:i4>
      </vt:variant>
    </vt:vector>
  </HeadingPairs>
  <TitlesOfParts>
    <vt:vector size="1" baseType="lpstr">
      <vt:lpstr>Tabella comparazione Regolamenti 2014-2020 / 2007-2013</vt:lpstr>
    </vt:vector>
  </TitlesOfParts>
  <Company/>
  <LinksUpToDate>false</LinksUpToDate>
  <CharactersWithSpaces>44234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Tabella comparazione Regolamenti 2014-2020 / 2007-2013</dc:title>
  <dc:subject/>
  <dc:creator>Michela Fagioli</dc:creator>
  <cp:keywords/>
  <dc:description/>
  <cp:lastModifiedBy>Rosita Tombesi</cp:lastModifiedBy>
  <cp:revision>5</cp:revision>
  <cp:lastPrinted>2014-03-11T09:11:00Z</cp:lastPrinted>
  <dcterms:created xsi:type="dcterms:W3CDTF">2014-04-01T15:15:00Z</dcterms:created>
  <dcterms:modified xsi:type="dcterms:W3CDTF">2014-04-02T07:50:00Z</dcterms:modified>
</cp:coreProperties>
</file>